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62E71" w14:textId="77777777" w:rsidR="004748C1" w:rsidRDefault="004748C1" w:rsidP="004748C1">
      <w:pPr>
        <w:spacing w:after="120"/>
      </w:pPr>
    </w:p>
    <w:tbl>
      <w:tblPr>
        <w:tblStyle w:val="TableGrid"/>
        <w:tblW w:w="0" w:type="auto"/>
        <w:tblLook w:val="04A0" w:firstRow="1" w:lastRow="0" w:firstColumn="1" w:lastColumn="0" w:noHBand="0" w:noVBand="1"/>
      </w:tblPr>
      <w:tblGrid>
        <w:gridCol w:w="3259"/>
        <w:gridCol w:w="3540"/>
        <w:gridCol w:w="1701"/>
        <w:gridCol w:w="3119"/>
        <w:gridCol w:w="3685"/>
      </w:tblGrid>
      <w:tr w:rsidR="004748C1" w14:paraId="0D4C6C7E" w14:textId="26C5D635" w:rsidTr="00AC307F">
        <w:tc>
          <w:tcPr>
            <w:tcW w:w="3259" w:type="dxa"/>
            <w:tcBorders>
              <w:top w:val="single" w:sz="4" w:space="0" w:color="auto"/>
            </w:tcBorders>
          </w:tcPr>
          <w:p w14:paraId="3BFDEF6F" w14:textId="549ED39F" w:rsidR="004748C1" w:rsidRPr="00E45E34" w:rsidRDefault="004748C1" w:rsidP="004748C1">
            <w:pPr>
              <w:jc w:val="center"/>
              <w:rPr>
                <w:b/>
                <w:bCs/>
                <w:sz w:val="20"/>
                <w:szCs w:val="20"/>
              </w:rPr>
            </w:pPr>
            <w:r w:rsidRPr="00E45E34">
              <w:rPr>
                <w:b/>
                <w:bCs/>
                <w:sz w:val="20"/>
                <w:szCs w:val="20"/>
              </w:rPr>
              <w:t>NC statement missed</w:t>
            </w:r>
          </w:p>
        </w:tc>
        <w:tc>
          <w:tcPr>
            <w:tcW w:w="3540" w:type="dxa"/>
            <w:tcBorders>
              <w:top w:val="single" w:sz="4" w:space="0" w:color="auto"/>
            </w:tcBorders>
          </w:tcPr>
          <w:p w14:paraId="17D7510A" w14:textId="0AD89004" w:rsidR="004748C1" w:rsidRPr="00E45E34" w:rsidRDefault="004748C1" w:rsidP="004748C1">
            <w:pPr>
              <w:jc w:val="center"/>
              <w:rPr>
                <w:b/>
                <w:bCs/>
                <w:sz w:val="20"/>
                <w:szCs w:val="20"/>
              </w:rPr>
            </w:pPr>
            <w:r>
              <w:rPr>
                <w:b/>
                <w:bCs/>
                <w:sz w:val="20"/>
                <w:szCs w:val="20"/>
              </w:rPr>
              <w:t>End of KS2 TAF statement</w:t>
            </w:r>
          </w:p>
        </w:tc>
        <w:tc>
          <w:tcPr>
            <w:tcW w:w="1701" w:type="dxa"/>
            <w:tcBorders>
              <w:top w:val="single" w:sz="4" w:space="0" w:color="auto"/>
            </w:tcBorders>
          </w:tcPr>
          <w:p w14:paraId="3A4CACB2" w14:textId="3D083AC2" w:rsidR="004748C1" w:rsidRPr="00E45E34" w:rsidRDefault="004748C1" w:rsidP="004748C1">
            <w:pPr>
              <w:jc w:val="center"/>
              <w:rPr>
                <w:b/>
                <w:bCs/>
                <w:sz w:val="20"/>
                <w:szCs w:val="20"/>
              </w:rPr>
            </w:pPr>
            <w:r w:rsidRPr="00E45E34">
              <w:rPr>
                <w:b/>
                <w:bCs/>
                <w:sz w:val="20"/>
                <w:szCs w:val="20"/>
              </w:rPr>
              <w:t>Catch up</w:t>
            </w:r>
          </w:p>
        </w:tc>
        <w:tc>
          <w:tcPr>
            <w:tcW w:w="3119" w:type="dxa"/>
            <w:tcBorders>
              <w:top w:val="single" w:sz="4" w:space="0" w:color="auto"/>
            </w:tcBorders>
          </w:tcPr>
          <w:p w14:paraId="2A8A0E1E" w14:textId="73841F0C" w:rsidR="004748C1" w:rsidRPr="00E45E34" w:rsidRDefault="004748C1" w:rsidP="004748C1">
            <w:pPr>
              <w:jc w:val="center"/>
              <w:rPr>
                <w:b/>
                <w:bCs/>
                <w:sz w:val="20"/>
                <w:szCs w:val="20"/>
              </w:rPr>
            </w:pPr>
            <w:r w:rsidRPr="00E45E34">
              <w:rPr>
                <w:b/>
                <w:bCs/>
                <w:sz w:val="20"/>
                <w:szCs w:val="20"/>
              </w:rPr>
              <w:t>Initial assessment</w:t>
            </w:r>
            <w:r>
              <w:rPr>
                <w:b/>
                <w:bCs/>
                <w:sz w:val="20"/>
                <w:szCs w:val="20"/>
              </w:rPr>
              <w:t xml:space="preserve"> suggestions*</w:t>
            </w:r>
          </w:p>
        </w:tc>
        <w:tc>
          <w:tcPr>
            <w:tcW w:w="3685" w:type="dxa"/>
            <w:tcBorders>
              <w:top w:val="single" w:sz="4" w:space="0" w:color="auto"/>
            </w:tcBorders>
            <w:vAlign w:val="center"/>
          </w:tcPr>
          <w:p w14:paraId="7F8F62E2" w14:textId="77777777" w:rsidR="004748C1" w:rsidRDefault="004748C1" w:rsidP="004748C1">
            <w:pPr>
              <w:jc w:val="center"/>
              <w:rPr>
                <w:b/>
                <w:bCs/>
                <w:sz w:val="20"/>
                <w:szCs w:val="20"/>
              </w:rPr>
            </w:pPr>
            <w:r w:rsidRPr="00E45E34">
              <w:rPr>
                <w:b/>
                <w:bCs/>
                <w:sz w:val="20"/>
                <w:szCs w:val="20"/>
              </w:rPr>
              <w:t>Notes</w:t>
            </w:r>
            <w:r>
              <w:rPr>
                <w:b/>
                <w:bCs/>
                <w:sz w:val="20"/>
                <w:szCs w:val="20"/>
              </w:rPr>
              <w:t xml:space="preserve"> - and highlighted risk</w:t>
            </w:r>
          </w:p>
          <w:p w14:paraId="0EB77B9C" w14:textId="3AD1851E" w:rsidR="004748C1" w:rsidRPr="00E45E34" w:rsidRDefault="004748C1" w:rsidP="004748C1">
            <w:pPr>
              <w:jc w:val="center"/>
              <w:rPr>
                <w:b/>
                <w:bCs/>
                <w:sz w:val="20"/>
                <w:szCs w:val="20"/>
              </w:rPr>
            </w:pPr>
            <w:r w:rsidRPr="002429C3">
              <w:rPr>
                <w:sz w:val="20"/>
                <w:szCs w:val="20"/>
              </w:rPr>
              <w:t>(Red will need to be planned explicitly in addition to usual topics, Green will fit readily into current units)</w:t>
            </w:r>
          </w:p>
        </w:tc>
      </w:tr>
      <w:tr w:rsidR="00DF0CAC" w14:paraId="7AC011EE" w14:textId="300DC6AC" w:rsidTr="000632F8">
        <w:tc>
          <w:tcPr>
            <w:tcW w:w="15304" w:type="dxa"/>
            <w:gridSpan w:val="5"/>
          </w:tcPr>
          <w:p w14:paraId="1B8B7467" w14:textId="1CA3CA2A" w:rsidR="00DF0CAC" w:rsidRPr="00E45E34" w:rsidRDefault="00DF0CAC">
            <w:pPr>
              <w:rPr>
                <w:b/>
                <w:bCs/>
                <w:sz w:val="20"/>
                <w:szCs w:val="20"/>
              </w:rPr>
            </w:pPr>
            <w:r w:rsidRPr="00E45E34">
              <w:rPr>
                <w:b/>
                <w:bCs/>
                <w:sz w:val="20"/>
                <w:szCs w:val="20"/>
              </w:rPr>
              <w:t>Year 1</w:t>
            </w:r>
          </w:p>
        </w:tc>
      </w:tr>
      <w:tr w:rsidR="004E2989" w14:paraId="15CF951A" w14:textId="4FFD4492" w:rsidTr="00670A80">
        <w:tc>
          <w:tcPr>
            <w:tcW w:w="15304" w:type="dxa"/>
            <w:gridSpan w:val="5"/>
          </w:tcPr>
          <w:p w14:paraId="423C74DF" w14:textId="0F297436" w:rsidR="004E2989" w:rsidRPr="005E3F22" w:rsidRDefault="004E2989">
            <w:pPr>
              <w:rPr>
                <w:sz w:val="20"/>
                <w:szCs w:val="20"/>
              </w:rPr>
            </w:pPr>
            <w:r w:rsidRPr="005E3F22">
              <w:rPr>
                <w:b/>
                <w:bCs/>
                <w:sz w:val="20"/>
                <w:szCs w:val="20"/>
              </w:rPr>
              <w:t>Plants</w:t>
            </w:r>
          </w:p>
        </w:tc>
      </w:tr>
      <w:tr w:rsidR="007A7199" w14:paraId="13EB6EC9" w14:textId="245C7511" w:rsidTr="00136680">
        <w:trPr>
          <w:trHeight w:val="1697"/>
        </w:trPr>
        <w:tc>
          <w:tcPr>
            <w:tcW w:w="3259" w:type="dxa"/>
            <w:vAlign w:val="center"/>
          </w:tcPr>
          <w:p w14:paraId="47EADE36" w14:textId="104B5693" w:rsidR="007A7199" w:rsidRDefault="007A7199" w:rsidP="004748C1">
            <w:pPr>
              <w:spacing w:before="40" w:after="40"/>
            </w:pPr>
            <w:r w:rsidRPr="00C63DCF">
              <w:rPr>
                <w:rFonts w:cs="Arial"/>
                <w:sz w:val="20"/>
                <w:szCs w:val="20"/>
              </w:rPr>
              <w:t>identify and name a variety of common wild and garden plants including deciduous and evergreen trees</w:t>
            </w:r>
          </w:p>
        </w:tc>
        <w:tc>
          <w:tcPr>
            <w:tcW w:w="3540" w:type="dxa"/>
            <w:vAlign w:val="center"/>
          </w:tcPr>
          <w:p w14:paraId="185B9F8D" w14:textId="01B82B28" w:rsidR="007A7199" w:rsidRPr="005E3F22" w:rsidRDefault="00925E6B" w:rsidP="004748C1">
            <w:pPr>
              <w:spacing w:before="40" w:after="40"/>
              <w:rPr>
                <w:sz w:val="20"/>
                <w:szCs w:val="20"/>
              </w:rPr>
            </w:pPr>
            <w:r>
              <w:rPr>
                <w:rFonts w:cs="Arial"/>
                <w:sz w:val="20"/>
                <w:szCs w:val="20"/>
              </w:rPr>
              <w:t>name different plants and animals and describe how they are suited to different habitats</w:t>
            </w:r>
            <w:r w:rsidR="00566694">
              <w:rPr>
                <w:rFonts w:cs="Arial"/>
                <w:sz w:val="20"/>
                <w:szCs w:val="20"/>
              </w:rPr>
              <w:t xml:space="preserve"> [Y2]</w:t>
            </w:r>
          </w:p>
        </w:tc>
        <w:tc>
          <w:tcPr>
            <w:tcW w:w="1701" w:type="dxa"/>
            <w:vAlign w:val="center"/>
          </w:tcPr>
          <w:p w14:paraId="0E04A736" w14:textId="1FFD397D" w:rsidR="00912B6E" w:rsidRPr="005E3F22" w:rsidRDefault="00D370C4" w:rsidP="004748C1">
            <w:pPr>
              <w:spacing w:before="40" w:after="40"/>
              <w:rPr>
                <w:sz w:val="20"/>
                <w:szCs w:val="20"/>
              </w:rPr>
            </w:pPr>
            <w:r w:rsidRPr="005E3F22">
              <w:rPr>
                <w:sz w:val="20"/>
                <w:szCs w:val="20"/>
              </w:rPr>
              <w:t>Y2</w:t>
            </w:r>
            <w:r>
              <w:rPr>
                <w:sz w:val="20"/>
                <w:szCs w:val="20"/>
              </w:rPr>
              <w:t xml:space="preserve"> </w:t>
            </w:r>
            <w:r w:rsidR="00912B6E" w:rsidRPr="005E3F22">
              <w:rPr>
                <w:sz w:val="20"/>
                <w:szCs w:val="20"/>
              </w:rPr>
              <w:t xml:space="preserve">Habitats unit </w:t>
            </w:r>
          </w:p>
        </w:tc>
        <w:tc>
          <w:tcPr>
            <w:tcW w:w="3119" w:type="dxa"/>
            <w:vAlign w:val="center"/>
          </w:tcPr>
          <w:p w14:paraId="1687E803" w14:textId="7B17DFA9" w:rsidR="007A7199" w:rsidRDefault="008B3228" w:rsidP="004748C1">
            <w:pPr>
              <w:spacing w:before="40" w:after="40"/>
              <w:rPr>
                <w:sz w:val="20"/>
                <w:szCs w:val="20"/>
              </w:rPr>
            </w:pPr>
            <w:r>
              <w:rPr>
                <w:sz w:val="20"/>
                <w:szCs w:val="20"/>
              </w:rPr>
              <w:t>Observation and matching:</w:t>
            </w:r>
          </w:p>
          <w:p w14:paraId="3ADF3C23" w14:textId="77777777" w:rsidR="008B3228" w:rsidRDefault="008B3228" w:rsidP="004748C1">
            <w:pPr>
              <w:spacing w:before="40" w:after="40"/>
              <w:rPr>
                <w:sz w:val="20"/>
                <w:szCs w:val="20"/>
              </w:rPr>
            </w:pPr>
            <w:r>
              <w:rPr>
                <w:sz w:val="20"/>
                <w:szCs w:val="20"/>
              </w:rPr>
              <w:t>Can you find the plant this leaf came from?</w:t>
            </w:r>
          </w:p>
          <w:p w14:paraId="638F84ED" w14:textId="5D103EC7" w:rsidR="008B3228" w:rsidRPr="005E3F22" w:rsidRDefault="008B3228" w:rsidP="004748C1">
            <w:pPr>
              <w:spacing w:before="40" w:after="40"/>
              <w:rPr>
                <w:sz w:val="20"/>
                <w:szCs w:val="20"/>
              </w:rPr>
            </w:pPr>
            <w:r>
              <w:rPr>
                <w:sz w:val="20"/>
                <w:szCs w:val="20"/>
              </w:rPr>
              <w:t>Us</w:t>
            </w:r>
            <w:r w:rsidR="00F50D99">
              <w:rPr>
                <w:sz w:val="20"/>
                <w:szCs w:val="20"/>
              </w:rPr>
              <w:t>ing</w:t>
            </w:r>
            <w:r>
              <w:rPr>
                <w:sz w:val="20"/>
                <w:szCs w:val="20"/>
              </w:rPr>
              <w:t xml:space="preserve"> </w:t>
            </w:r>
            <w:r w:rsidR="00F50D99">
              <w:rPr>
                <w:sz w:val="20"/>
                <w:szCs w:val="20"/>
              </w:rPr>
              <w:t xml:space="preserve">a </w:t>
            </w:r>
            <w:r>
              <w:rPr>
                <w:sz w:val="20"/>
                <w:szCs w:val="20"/>
              </w:rPr>
              <w:t>spotter sheet to identify plants</w:t>
            </w:r>
          </w:p>
        </w:tc>
        <w:tc>
          <w:tcPr>
            <w:tcW w:w="3685" w:type="dxa"/>
            <w:shd w:val="clear" w:color="auto" w:fill="auto"/>
            <w:vAlign w:val="center"/>
          </w:tcPr>
          <w:p w14:paraId="0A03CFCA" w14:textId="20996122" w:rsidR="007A7199" w:rsidRPr="00DF0CAC" w:rsidRDefault="00421ABE" w:rsidP="00AA1841">
            <w:pPr>
              <w:shd w:val="solid" w:color="E2EFD9" w:themeColor="accent6" w:themeTint="33" w:fill="auto"/>
              <w:spacing w:before="40" w:after="40"/>
              <w:rPr>
                <w:sz w:val="20"/>
                <w:szCs w:val="20"/>
              </w:rPr>
            </w:pPr>
            <w:r w:rsidRPr="00DF0CAC">
              <w:rPr>
                <w:sz w:val="20"/>
                <w:szCs w:val="20"/>
              </w:rPr>
              <w:t xml:space="preserve">Will be taught </w:t>
            </w:r>
            <w:r w:rsidR="000213BC" w:rsidRPr="00DF0CAC">
              <w:rPr>
                <w:sz w:val="20"/>
                <w:szCs w:val="20"/>
              </w:rPr>
              <w:t xml:space="preserve">naturally </w:t>
            </w:r>
            <w:r w:rsidRPr="00DF0CAC">
              <w:rPr>
                <w:sz w:val="20"/>
                <w:szCs w:val="20"/>
              </w:rPr>
              <w:t>through habitats unit</w:t>
            </w:r>
            <w:r w:rsidR="008D49CA" w:rsidRPr="00DF0CAC">
              <w:rPr>
                <w:sz w:val="20"/>
                <w:szCs w:val="20"/>
              </w:rPr>
              <w:t xml:space="preserve"> – naming plants that are included in work on food chains and adaptation.</w:t>
            </w:r>
          </w:p>
        </w:tc>
      </w:tr>
      <w:tr w:rsidR="007A7199" w14:paraId="214DAF2D" w14:textId="4F473E37" w:rsidTr="004748C1">
        <w:trPr>
          <w:trHeight w:val="1679"/>
        </w:trPr>
        <w:tc>
          <w:tcPr>
            <w:tcW w:w="3259" w:type="dxa"/>
            <w:vAlign w:val="center"/>
          </w:tcPr>
          <w:p w14:paraId="4A05E412" w14:textId="6B084490" w:rsidR="007A7199" w:rsidRDefault="007A7199" w:rsidP="004748C1">
            <w:pPr>
              <w:spacing w:before="40" w:after="40"/>
            </w:pPr>
            <w:r>
              <w:rPr>
                <w:rFonts w:cs="Arial"/>
                <w:sz w:val="20"/>
                <w:szCs w:val="20"/>
              </w:rPr>
              <w:t>Identify and describe the basic structure of a variety of common flowering plants, including trees</w:t>
            </w:r>
          </w:p>
        </w:tc>
        <w:tc>
          <w:tcPr>
            <w:tcW w:w="3540" w:type="dxa"/>
            <w:vAlign w:val="center"/>
          </w:tcPr>
          <w:p w14:paraId="521058BA" w14:textId="77777777" w:rsidR="007A7199" w:rsidRDefault="008D49CA" w:rsidP="004748C1">
            <w:pPr>
              <w:spacing w:before="40" w:after="40"/>
              <w:rPr>
                <w:rFonts w:cs="Arial"/>
                <w:sz w:val="20"/>
                <w:szCs w:val="20"/>
              </w:rPr>
            </w:pPr>
            <w:r>
              <w:rPr>
                <w:rFonts w:cs="Arial"/>
                <w:sz w:val="20"/>
                <w:szCs w:val="20"/>
              </w:rPr>
              <w:t xml:space="preserve">Not specified in TAF </w:t>
            </w:r>
          </w:p>
          <w:p w14:paraId="5F0B5237" w14:textId="2B13002A" w:rsidR="00C04BC5" w:rsidRPr="005E3F22" w:rsidRDefault="00C04BC5" w:rsidP="004748C1">
            <w:pPr>
              <w:spacing w:before="40" w:after="40"/>
              <w:rPr>
                <w:sz w:val="20"/>
                <w:szCs w:val="20"/>
              </w:rPr>
            </w:pPr>
          </w:p>
        </w:tc>
        <w:tc>
          <w:tcPr>
            <w:tcW w:w="1701" w:type="dxa"/>
            <w:vAlign w:val="center"/>
          </w:tcPr>
          <w:p w14:paraId="505DF35A" w14:textId="49D2330C" w:rsidR="00912B6E" w:rsidRPr="005E3F22" w:rsidRDefault="00D370C4" w:rsidP="004748C1">
            <w:pPr>
              <w:spacing w:before="40" w:after="40"/>
              <w:rPr>
                <w:sz w:val="20"/>
                <w:szCs w:val="20"/>
              </w:rPr>
            </w:pPr>
            <w:r>
              <w:rPr>
                <w:sz w:val="20"/>
                <w:szCs w:val="20"/>
              </w:rPr>
              <w:t xml:space="preserve">Y3 </w:t>
            </w:r>
            <w:r w:rsidR="00C04BC5">
              <w:rPr>
                <w:sz w:val="20"/>
                <w:szCs w:val="20"/>
              </w:rPr>
              <w:t xml:space="preserve">Plants unit </w:t>
            </w:r>
          </w:p>
        </w:tc>
        <w:tc>
          <w:tcPr>
            <w:tcW w:w="3119" w:type="dxa"/>
            <w:vAlign w:val="center"/>
          </w:tcPr>
          <w:p w14:paraId="6CF36390" w14:textId="5B437E23" w:rsidR="007A7199" w:rsidRDefault="00D90388" w:rsidP="004748C1">
            <w:pPr>
              <w:spacing w:before="40" w:after="40"/>
              <w:rPr>
                <w:sz w:val="20"/>
                <w:szCs w:val="20"/>
              </w:rPr>
            </w:pPr>
            <w:proofErr w:type="spellStart"/>
            <w:r>
              <w:rPr>
                <w:sz w:val="20"/>
                <w:szCs w:val="20"/>
              </w:rPr>
              <w:t>Explorify</w:t>
            </w:r>
            <w:proofErr w:type="spellEnd"/>
            <w:r>
              <w:rPr>
                <w:sz w:val="20"/>
                <w:szCs w:val="20"/>
              </w:rPr>
              <w:t xml:space="preserve"> – Types of leaves (</w:t>
            </w:r>
            <w:r w:rsidR="00F50D99">
              <w:rPr>
                <w:sz w:val="20"/>
                <w:szCs w:val="20"/>
              </w:rPr>
              <w:t>O</w:t>
            </w:r>
            <w:r>
              <w:rPr>
                <w:sz w:val="20"/>
                <w:szCs w:val="20"/>
              </w:rPr>
              <w:t>dd one out)</w:t>
            </w:r>
          </w:p>
          <w:p w14:paraId="0D1138C4" w14:textId="3019DFAF" w:rsidR="00A974C6" w:rsidRDefault="00C04BC5" w:rsidP="004748C1">
            <w:pPr>
              <w:spacing w:before="40" w:after="40"/>
              <w:rPr>
                <w:sz w:val="20"/>
                <w:szCs w:val="20"/>
              </w:rPr>
            </w:pPr>
            <w:r>
              <w:rPr>
                <w:sz w:val="20"/>
                <w:szCs w:val="20"/>
              </w:rPr>
              <w:t>Active assessment: Plant parts card sort</w:t>
            </w:r>
            <w:r w:rsidR="00647F54">
              <w:rPr>
                <w:sz w:val="20"/>
                <w:szCs w:val="20"/>
              </w:rPr>
              <w:t xml:space="preserve"> [££]</w:t>
            </w:r>
          </w:p>
          <w:p w14:paraId="3F4DA8B3" w14:textId="37300F92" w:rsidR="008B3228" w:rsidRPr="005E3F22" w:rsidRDefault="003F77B8" w:rsidP="004748C1">
            <w:pPr>
              <w:spacing w:before="40" w:after="40"/>
              <w:rPr>
                <w:sz w:val="20"/>
                <w:szCs w:val="20"/>
              </w:rPr>
            </w:pPr>
            <w:proofErr w:type="spellStart"/>
            <w:r>
              <w:rPr>
                <w:sz w:val="20"/>
                <w:szCs w:val="20"/>
              </w:rPr>
              <w:t>Explorify</w:t>
            </w:r>
            <w:proofErr w:type="spellEnd"/>
            <w:r>
              <w:rPr>
                <w:sz w:val="20"/>
                <w:szCs w:val="20"/>
              </w:rPr>
              <w:t xml:space="preserve"> – Rich pickings (Video)</w:t>
            </w:r>
          </w:p>
        </w:tc>
        <w:tc>
          <w:tcPr>
            <w:tcW w:w="3685" w:type="dxa"/>
            <w:vAlign w:val="center"/>
          </w:tcPr>
          <w:p w14:paraId="183310DC" w14:textId="6B391A56" w:rsidR="0080232E" w:rsidRPr="00DF0CAC" w:rsidRDefault="00912B6E" w:rsidP="00136680">
            <w:pPr>
              <w:shd w:val="solid" w:color="E2EFD9" w:themeColor="accent6" w:themeTint="33" w:fill="auto"/>
              <w:spacing w:before="40" w:after="40"/>
              <w:rPr>
                <w:sz w:val="20"/>
                <w:szCs w:val="20"/>
              </w:rPr>
            </w:pPr>
            <w:r w:rsidRPr="00DF0CAC">
              <w:rPr>
                <w:sz w:val="20"/>
                <w:szCs w:val="20"/>
              </w:rPr>
              <w:t>Basic plant parts</w:t>
            </w:r>
            <w:r w:rsidR="0080232E" w:rsidRPr="00DF0CAC">
              <w:rPr>
                <w:sz w:val="20"/>
                <w:szCs w:val="20"/>
              </w:rPr>
              <w:t>,</w:t>
            </w:r>
            <w:r w:rsidRPr="00DF0CAC">
              <w:rPr>
                <w:sz w:val="20"/>
                <w:szCs w:val="20"/>
              </w:rPr>
              <w:t xml:space="preserve"> likely to be known from EYFS. </w:t>
            </w:r>
          </w:p>
          <w:p w14:paraId="7B2AA8E8" w14:textId="1417BA75" w:rsidR="007A7199" w:rsidRPr="00DF0CAC" w:rsidRDefault="00C04BC5" w:rsidP="00136680">
            <w:pPr>
              <w:shd w:val="solid" w:color="E2EFD9" w:themeColor="accent6" w:themeTint="33" w:fill="auto"/>
              <w:spacing w:before="40" w:after="40"/>
              <w:rPr>
                <w:sz w:val="20"/>
                <w:szCs w:val="20"/>
              </w:rPr>
            </w:pPr>
            <w:r w:rsidRPr="00DF0CAC">
              <w:rPr>
                <w:rFonts w:cs="Arial"/>
                <w:sz w:val="20"/>
                <w:szCs w:val="20"/>
              </w:rPr>
              <w:t>Likely to be covered incidentally when observing germination and growth in Y2</w:t>
            </w:r>
            <w:r w:rsidR="00F93C0F" w:rsidRPr="00DF0CAC">
              <w:rPr>
                <w:rFonts w:cs="Arial"/>
                <w:sz w:val="20"/>
                <w:szCs w:val="20"/>
              </w:rPr>
              <w:t xml:space="preserve"> but </w:t>
            </w:r>
            <w:r w:rsidR="00DF0CAC">
              <w:rPr>
                <w:rFonts w:cs="Arial"/>
                <w:sz w:val="20"/>
                <w:szCs w:val="20"/>
              </w:rPr>
              <w:t>will</w:t>
            </w:r>
            <w:r w:rsidR="00F93C0F" w:rsidRPr="00DF0CAC">
              <w:rPr>
                <w:rFonts w:cs="Arial"/>
                <w:sz w:val="20"/>
                <w:szCs w:val="20"/>
              </w:rPr>
              <w:t xml:space="preserve"> be </w:t>
            </w:r>
            <w:r w:rsidR="00C720AE" w:rsidRPr="00DF0CAC">
              <w:rPr>
                <w:rFonts w:cs="Arial"/>
                <w:sz w:val="20"/>
                <w:szCs w:val="20"/>
              </w:rPr>
              <w:t>revisited in Y3</w:t>
            </w:r>
            <w:r w:rsidRPr="00DF0CAC">
              <w:rPr>
                <w:rFonts w:cs="Arial"/>
                <w:sz w:val="20"/>
                <w:szCs w:val="20"/>
              </w:rPr>
              <w:t>.</w:t>
            </w:r>
          </w:p>
        </w:tc>
      </w:tr>
    </w:tbl>
    <w:p w14:paraId="54891B17" w14:textId="2AE11859" w:rsidR="004748C1" w:rsidRDefault="004748C1">
      <w:r>
        <w:br w:type="page"/>
      </w:r>
    </w:p>
    <w:p w14:paraId="186FE3C1" w14:textId="77777777" w:rsidR="004748C1" w:rsidRDefault="004748C1" w:rsidP="002464F9">
      <w:pPr>
        <w:spacing w:after="120"/>
      </w:pPr>
    </w:p>
    <w:tbl>
      <w:tblPr>
        <w:tblStyle w:val="TableGrid"/>
        <w:tblW w:w="0" w:type="auto"/>
        <w:tblLook w:val="04A0" w:firstRow="1" w:lastRow="0" w:firstColumn="1" w:lastColumn="0" w:noHBand="0" w:noVBand="1"/>
      </w:tblPr>
      <w:tblGrid>
        <w:gridCol w:w="3259"/>
        <w:gridCol w:w="3540"/>
        <w:gridCol w:w="1701"/>
        <w:gridCol w:w="3119"/>
        <w:gridCol w:w="3685"/>
      </w:tblGrid>
      <w:tr w:rsidR="004748C1" w14:paraId="0311EB95" w14:textId="77777777" w:rsidTr="00F44C29">
        <w:tc>
          <w:tcPr>
            <w:tcW w:w="3259" w:type="dxa"/>
            <w:tcBorders>
              <w:top w:val="single" w:sz="4" w:space="0" w:color="auto"/>
            </w:tcBorders>
          </w:tcPr>
          <w:p w14:paraId="2EF2BBD2" w14:textId="059DCE31" w:rsidR="004748C1" w:rsidRPr="005E3F22" w:rsidRDefault="004748C1" w:rsidP="004748C1">
            <w:pPr>
              <w:jc w:val="center"/>
              <w:rPr>
                <w:rFonts w:cs="Arial"/>
                <w:b/>
                <w:bCs/>
                <w:sz w:val="20"/>
                <w:szCs w:val="20"/>
              </w:rPr>
            </w:pPr>
            <w:r w:rsidRPr="00E45E34">
              <w:rPr>
                <w:b/>
                <w:bCs/>
                <w:sz w:val="20"/>
                <w:szCs w:val="20"/>
              </w:rPr>
              <w:t>NC statement missed</w:t>
            </w:r>
          </w:p>
        </w:tc>
        <w:tc>
          <w:tcPr>
            <w:tcW w:w="3540" w:type="dxa"/>
            <w:tcBorders>
              <w:top w:val="single" w:sz="4" w:space="0" w:color="auto"/>
            </w:tcBorders>
          </w:tcPr>
          <w:p w14:paraId="311C263B" w14:textId="11FBE7E0" w:rsidR="004748C1" w:rsidRPr="005E3F22" w:rsidRDefault="004748C1" w:rsidP="004748C1">
            <w:pPr>
              <w:jc w:val="center"/>
              <w:rPr>
                <w:rFonts w:cs="Arial"/>
                <w:b/>
                <w:bCs/>
                <w:sz w:val="20"/>
                <w:szCs w:val="20"/>
              </w:rPr>
            </w:pPr>
            <w:r>
              <w:rPr>
                <w:b/>
                <w:bCs/>
                <w:sz w:val="20"/>
                <w:szCs w:val="20"/>
              </w:rPr>
              <w:t>End of KS2 TAF statement</w:t>
            </w:r>
          </w:p>
        </w:tc>
        <w:tc>
          <w:tcPr>
            <w:tcW w:w="1701" w:type="dxa"/>
            <w:tcBorders>
              <w:top w:val="single" w:sz="4" w:space="0" w:color="auto"/>
            </w:tcBorders>
          </w:tcPr>
          <w:p w14:paraId="1FF36F17" w14:textId="07FB2716" w:rsidR="004748C1" w:rsidRPr="005E3F22" w:rsidRDefault="004748C1" w:rsidP="004748C1">
            <w:pPr>
              <w:jc w:val="center"/>
              <w:rPr>
                <w:rFonts w:cs="Arial"/>
                <w:b/>
                <w:bCs/>
                <w:sz w:val="20"/>
                <w:szCs w:val="20"/>
              </w:rPr>
            </w:pPr>
            <w:r w:rsidRPr="00E45E34">
              <w:rPr>
                <w:b/>
                <w:bCs/>
                <w:sz w:val="20"/>
                <w:szCs w:val="20"/>
              </w:rPr>
              <w:t>Catch up</w:t>
            </w:r>
          </w:p>
        </w:tc>
        <w:tc>
          <w:tcPr>
            <w:tcW w:w="3119" w:type="dxa"/>
            <w:tcBorders>
              <w:top w:val="single" w:sz="4" w:space="0" w:color="auto"/>
            </w:tcBorders>
          </w:tcPr>
          <w:p w14:paraId="58F98E09" w14:textId="49173F00" w:rsidR="004748C1" w:rsidRPr="005E3F22" w:rsidRDefault="004748C1" w:rsidP="004748C1">
            <w:pPr>
              <w:jc w:val="center"/>
              <w:rPr>
                <w:rFonts w:cs="Arial"/>
                <w:b/>
                <w:bCs/>
                <w:sz w:val="20"/>
                <w:szCs w:val="20"/>
              </w:rPr>
            </w:pPr>
            <w:r w:rsidRPr="00E45E34">
              <w:rPr>
                <w:b/>
                <w:bCs/>
                <w:sz w:val="20"/>
                <w:szCs w:val="20"/>
              </w:rPr>
              <w:t>Initial assessment</w:t>
            </w:r>
            <w:r>
              <w:rPr>
                <w:b/>
                <w:bCs/>
                <w:sz w:val="20"/>
                <w:szCs w:val="20"/>
              </w:rPr>
              <w:t xml:space="preserve"> suggestions*</w:t>
            </w:r>
          </w:p>
        </w:tc>
        <w:tc>
          <w:tcPr>
            <w:tcW w:w="3685" w:type="dxa"/>
            <w:tcBorders>
              <w:top w:val="single" w:sz="4" w:space="0" w:color="auto"/>
            </w:tcBorders>
            <w:vAlign w:val="center"/>
          </w:tcPr>
          <w:p w14:paraId="1BD8ABD5" w14:textId="77777777" w:rsidR="004748C1" w:rsidRDefault="004748C1" w:rsidP="004748C1">
            <w:pPr>
              <w:jc w:val="center"/>
              <w:rPr>
                <w:b/>
                <w:bCs/>
                <w:sz w:val="20"/>
                <w:szCs w:val="20"/>
              </w:rPr>
            </w:pPr>
            <w:r w:rsidRPr="00E45E34">
              <w:rPr>
                <w:b/>
                <w:bCs/>
                <w:sz w:val="20"/>
                <w:szCs w:val="20"/>
              </w:rPr>
              <w:t>Notes</w:t>
            </w:r>
            <w:r>
              <w:rPr>
                <w:b/>
                <w:bCs/>
                <w:sz w:val="20"/>
                <w:szCs w:val="20"/>
              </w:rPr>
              <w:t xml:space="preserve"> - and highlighted risk</w:t>
            </w:r>
          </w:p>
          <w:p w14:paraId="1B5E132A" w14:textId="6244D322" w:rsidR="004748C1" w:rsidRPr="005E3F22" w:rsidRDefault="004748C1" w:rsidP="004748C1">
            <w:pPr>
              <w:jc w:val="center"/>
              <w:rPr>
                <w:rFonts w:cs="Arial"/>
                <w:b/>
                <w:bCs/>
                <w:sz w:val="20"/>
                <w:szCs w:val="20"/>
              </w:rPr>
            </w:pPr>
            <w:r w:rsidRPr="002429C3">
              <w:rPr>
                <w:sz w:val="20"/>
                <w:szCs w:val="20"/>
              </w:rPr>
              <w:t>(Red will need to be planned explicitly in addition to usual topics, Green will fit readily into current units)</w:t>
            </w:r>
          </w:p>
        </w:tc>
      </w:tr>
      <w:tr w:rsidR="008C5E61" w14:paraId="1E041B2E" w14:textId="77777777" w:rsidTr="00C07682">
        <w:tc>
          <w:tcPr>
            <w:tcW w:w="15304" w:type="dxa"/>
            <w:gridSpan w:val="5"/>
          </w:tcPr>
          <w:p w14:paraId="56448737" w14:textId="5B5A7EFF" w:rsidR="008C5E61" w:rsidRPr="005E3F22" w:rsidRDefault="008C5E61">
            <w:pPr>
              <w:rPr>
                <w:rFonts w:cs="Arial"/>
                <w:b/>
                <w:bCs/>
                <w:sz w:val="20"/>
                <w:szCs w:val="20"/>
              </w:rPr>
            </w:pPr>
            <w:r>
              <w:rPr>
                <w:rFonts w:cs="Arial"/>
                <w:b/>
                <w:bCs/>
                <w:sz w:val="20"/>
                <w:szCs w:val="20"/>
              </w:rPr>
              <w:t>Year 1</w:t>
            </w:r>
          </w:p>
        </w:tc>
      </w:tr>
      <w:tr w:rsidR="004E2989" w14:paraId="19C31B6E" w14:textId="2E9EBFD2" w:rsidTr="00C07682">
        <w:tc>
          <w:tcPr>
            <w:tcW w:w="15304" w:type="dxa"/>
            <w:gridSpan w:val="5"/>
          </w:tcPr>
          <w:p w14:paraId="1B31B8BA" w14:textId="7EF69398" w:rsidR="004E2989" w:rsidRPr="005E3F22" w:rsidRDefault="004E2989">
            <w:pPr>
              <w:rPr>
                <w:sz w:val="20"/>
                <w:szCs w:val="20"/>
              </w:rPr>
            </w:pPr>
            <w:r w:rsidRPr="005E3F22">
              <w:rPr>
                <w:rFonts w:cs="Arial"/>
                <w:b/>
                <w:bCs/>
                <w:sz w:val="20"/>
                <w:szCs w:val="20"/>
              </w:rPr>
              <w:t>Animals, including humans</w:t>
            </w:r>
          </w:p>
        </w:tc>
      </w:tr>
      <w:tr w:rsidR="00C720AE" w14:paraId="11A791A4" w14:textId="5D887E73" w:rsidTr="002464F9">
        <w:trPr>
          <w:trHeight w:val="1481"/>
        </w:trPr>
        <w:tc>
          <w:tcPr>
            <w:tcW w:w="3259" w:type="dxa"/>
            <w:vAlign w:val="center"/>
          </w:tcPr>
          <w:p w14:paraId="3C460426" w14:textId="325DD549" w:rsidR="00C720AE" w:rsidRDefault="00C720AE" w:rsidP="004748C1">
            <w:pPr>
              <w:spacing w:before="40" w:after="40"/>
            </w:pPr>
            <w:r>
              <w:rPr>
                <w:rFonts w:cs="Arial"/>
                <w:sz w:val="20"/>
                <w:szCs w:val="20"/>
              </w:rPr>
              <w:t xml:space="preserve">identify and name a variety of common animals including fish, amphibians, reptiles, </w:t>
            </w:r>
            <w:proofErr w:type="gramStart"/>
            <w:r>
              <w:rPr>
                <w:rFonts w:cs="Arial"/>
                <w:sz w:val="20"/>
                <w:szCs w:val="20"/>
              </w:rPr>
              <w:t>birds</w:t>
            </w:r>
            <w:proofErr w:type="gramEnd"/>
            <w:r>
              <w:rPr>
                <w:rFonts w:cs="Arial"/>
                <w:sz w:val="20"/>
                <w:szCs w:val="20"/>
              </w:rPr>
              <w:t xml:space="preserve"> and mammals</w:t>
            </w:r>
          </w:p>
        </w:tc>
        <w:tc>
          <w:tcPr>
            <w:tcW w:w="3540" w:type="dxa"/>
            <w:vAlign w:val="center"/>
          </w:tcPr>
          <w:p w14:paraId="651A057C" w14:textId="78DA79BA" w:rsidR="00C720AE" w:rsidRPr="005E3F22" w:rsidRDefault="00C720AE" w:rsidP="004748C1">
            <w:pPr>
              <w:spacing w:before="40" w:after="40"/>
              <w:rPr>
                <w:rFonts w:cstheme="minorHAnsi"/>
                <w:sz w:val="20"/>
                <w:szCs w:val="20"/>
              </w:rPr>
            </w:pPr>
            <w:r>
              <w:rPr>
                <w:rFonts w:cs="Arial"/>
                <w:sz w:val="20"/>
                <w:szCs w:val="20"/>
              </w:rPr>
              <w:t>name different plants and animals and describe how they are suited to different habitats [Y2]</w:t>
            </w:r>
          </w:p>
        </w:tc>
        <w:tc>
          <w:tcPr>
            <w:tcW w:w="1701" w:type="dxa"/>
            <w:vAlign w:val="center"/>
          </w:tcPr>
          <w:p w14:paraId="32516487" w14:textId="0DF01F9A" w:rsidR="00C720AE" w:rsidRPr="005E3F22" w:rsidRDefault="00D370C4" w:rsidP="004748C1">
            <w:pPr>
              <w:spacing w:before="40" w:after="40"/>
              <w:rPr>
                <w:sz w:val="20"/>
                <w:szCs w:val="20"/>
              </w:rPr>
            </w:pPr>
            <w:r>
              <w:rPr>
                <w:sz w:val="20"/>
                <w:szCs w:val="20"/>
              </w:rPr>
              <w:t xml:space="preserve">Y2 </w:t>
            </w:r>
            <w:r w:rsidR="00C720AE" w:rsidRPr="005E3F22">
              <w:rPr>
                <w:sz w:val="20"/>
                <w:szCs w:val="20"/>
              </w:rPr>
              <w:t>Habitats unit</w:t>
            </w:r>
          </w:p>
        </w:tc>
        <w:tc>
          <w:tcPr>
            <w:tcW w:w="3119" w:type="dxa"/>
            <w:vMerge w:val="restart"/>
            <w:vAlign w:val="center"/>
          </w:tcPr>
          <w:p w14:paraId="47375808" w14:textId="26D647B5" w:rsidR="00C720AE" w:rsidRDefault="00C720AE" w:rsidP="004748C1">
            <w:pPr>
              <w:spacing w:before="40" w:after="40"/>
              <w:rPr>
                <w:sz w:val="20"/>
                <w:szCs w:val="20"/>
              </w:rPr>
            </w:pPr>
            <w:r>
              <w:rPr>
                <w:sz w:val="20"/>
                <w:szCs w:val="20"/>
              </w:rPr>
              <w:t>Odd one out activities with animals from the vertebrate groups including:</w:t>
            </w:r>
          </w:p>
          <w:p w14:paraId="4C9E4DBA" w14:textId="6E6F288B" w:rsidR="00C720AE" w:rsidRDefault="00C720AE" w:rsidP="004748C1">
            <w:pPr>
              <w:spacing w:before="40" w:after="40"/>
              <w:rPr>
                <w:sz w:val="20"/>
                <w:szCs w:val="20"/>
              </w:rPr>
            </w:pPr>
            <w:proofErr w:type="spellStart"/>
            <w:r>
              <w:rPr>
                <w:sz w:val="20"/>
                <w:szCs w:val="20"/>
              </w:rPr>
              <w:t>Explorify</w:t>
            </w:r>
            <w:proofErr w:type="spellEnd"/>
            <w:r>
              <w:rPr>
                <w:sz w:val="20"/>
                <w:szCs w:val="20"/>
              </w:rPr>
              <w:t xml:space="preserve"> – Spooky animals (Odd one out)</w:t>
            </w:r>
            <w:r w:rsidR="00E06397">
              <w:rPr>
                <w:sz w:val="20"/>
                <w:szCs w:val="20"/>
              </w:rPr>
              <w:t>,</w:t>
            </w:r>
            <w:r>
              <w:rPr>
                <w:sz w:val="20"/>
                <w:szCs w:val="20"/>
              </w:rPr>
              <w:t xml:space="preserve"> Tip the scales (Odd one out)</w:t>
            </w:r>
          </w:p>
          <w:p w14:paraId="616C769C" w14:textId="2A2E4874" w:rsidR="00C720AE" w:rsidRDefault="00C720AE" w:rsidP="004748C1">
            <w:pPr>
              <w:spacing w:before="40" w:after="40"/>
              <w:rPr>
                <w:sz w:val="20"/>
                <w:szCs w:val="20"/>
              </w:rPr>
            </w:pPr>
            <w:r>
              <w:rPr>
                <w:sz w:val="20"/>
                <w:szCs w:val="20"/>
              </w:rPr>
              <w:t xml:space="preserve"> </w:t>
            </w:r>
          </w:p>
          <w:p w14:paraId="1C3F7CAE" w14:textId="397359A1" w:rsidR="00C720AE" w:rsidRDefault="00C720AE" w:rsidP="004748C1">
            <w:pPr>
              <w:spacing w:before="40" w:after="40"/>
              <w:rPr>
                <w:sz w:val="20"/>
                <w:szCs w:val="20"/>
              </w:rPr>
            </w:pPr>
            <w:r>
              <w:rPr>
                <w:sz w:val="20"/>
                <w:szCs w:val="20"/>
              </w:rPr>
              <w:t>Who am I? games</w:t>
            </w:r>
          </w:p>
          <w:p w14:paraId="19423627" w14:textId="1C2446A5" w:rsidR="00E06397" w:rsidRDefault="00E06397" w:rsidP="004748C1">
            <w:pPr>
              <w:spacing w:before="40" w:after="40"/>
              <w:rPr>
                <w:sz w:val="20"/>
                <w:szCs w:val="20"/>
              </w:rPr>
            </w:pPr>
          </w:p>
          <w:p w14:paraId="36B6DE91" w14:textId="16E0ABB2" w:rsidR="00E06397" w:rsidRDefault="00E06397" w:rsidP="004748C1">
            <w:pPr>
              <w:spacing w:before="40" w:after="40"/>
              <w:rPr>
                <w:sz w:val="20"/>
                <w:szCs w:val="20"/>
              </w:rPr>
            </w:pPr>
            <w:proofErr w:type="spellStart"/>
            <w:r>
              <w:rPr>
                <w:sz w:val="20"/>
                <w:szCs w:val="20"/>
              </w:rPr>
              <w:t>Explorify</w:t>
            </w:r>
            <w:proofErr w:type="spellEnd"/>
            <w:r>
              <w:rPr>
                <w:sz w:val="20"/>
                <w:szCs w:val="20"/>
              </w:rPr>
              <w:t xml:space="preserve"> – Creature comforts (Zoom in, zoom out)</w:t>
            </w:r>
          </w:p>
          <w:p w14:paraId="7D95826B" w14:textId="77777777" w:rsidR="00C720AE" w:rsidRDefault="00C720AE" w:rsidP="004748C1">
            <w:pPr>
              <w:spacing w:before="40" w:after="40"/>
              <w:rPr>
                <w:sz w:val="20"/>
                <w:szCs w:val="20"/>
              </w:rPr>
            </w:pPr>
          </w:p>
          <w:p w14:paraId="778A59E5" w14:textId="24799E1F" w:rsidR="00C720AE" w:rsidRPr="005E3F22" w:rsidRDefault="00C720AE" w:rsidP="004748C1">
            <w:pPr>
              <w:spacing w:before="40" w:after="40"/>
              <w:rPr>
                <w:sz w:val="20"/>
                <w:szCs w:val="20"/>
              </w:rPr>
            </w:pPr>
            <w:proofErr w:type="spellStart"/>
            <w:r>
              <w:rPr>
                <w:sz w:val="20"/>
                <w:szCs w:val="20"/>
              </w:rPr>
              <w:t>Explorify</w:t>
            </w:r>
            <w:proofErr w:type="spellEnd"/>
            <w:r>
              <w:rPr>
                <w:sz w:val="20"/>
                <w:szCs w:val="20"/>
              </w:rPr>
              <w:t xml:space="preserve"> – In the swim (Video)</w:t>
            </w:r>
          </w:p>
        </w:tc>
        <w:tc>
          <w:tcPr>
            <w:tcW w:w="3685" w:type="dxa"/>
            <w:vAlign w:val="center"/>
          </w:tcPr>
          <w:p w14:paraId="00E3E8C7" w14:textId="23BD1605" w:rsidR="00C720AE" w:rsidRPr="00DF0CAC" w:rsidRDefault="00C720AE" w:rsidP="00136680">
            <w:pPr>
              <w:shd w:val="solid" w:color="E2EFD9" w:themeColor="accent6" w:themeTint="33" w:fill="auto"/>
              <w:spacing w:before="40" w:after="40"/>
              <w:rPr>
                <w:sz w:val="20"/>
                <w:szCs w:val="20"/>
              </w:rPr>
            </w:pPr>
            <w:r w:rsidRPr="00DF0CAC">
              <w:rPr>
                <w:sz w:val="20"/>
                <w:szCs w:val="20"/>
              </w:rPr>
              <w:t xml:space="preserve">Some familiarity likely from EYFS. </w:t>
            </w:r>
          </w:p>
          <w:p w14:paraId="3BBC1F72" w14:textId="69E9374F" w:rsidR="00C720AE" w:rsidRPr="00DF0CAC" w:rsidRDefault="000213BC" w:rsidP="00136680">
            <w:pPr>
              <w:shd w:val="solid" w:color="E2EFD9" w:themeColor="accent6" w:themeTint="33" w:fill="auto"/>
              <w:spacing w:before="40" w:after="40"/>
              <w:rPr>
                <w:sz w:val="20"/>
                <w:szCs w:val="20"/>
              </w:rPr>
            </w:pPr>
            <w:r w:rsidRPr="00DF0CAC">
              <w:rPr>
                <w:sz w:val="20"/>
                <w:szCs w:val="20"/>
              </w:rPr>
              <w:t>T</w:t>
            </w:r>
            <w:r w:rsidR="00C720AE" w:rsidRPr="00DF0CAC">
              <w:rPr>
                <w:sz w:val="20"/>
                <w:szCs w:val="20"/>
              </w:rPr>
              <w:t>aught through habitats unit – adaptation of range of vertebrates to habitat.</w:t>
            </w:r>
          </w:p>
          <w:p w14:paraId="5867FB89" w14:textId="2342916D" w:rsidR="00C720AE" w:rsidRPr="00DF0CAC" w:rsidRDefault="00C720AE" w:rsidP="00136680">
            <w:pPr>
              <w:shd w:val="solid" w:color="E2EFD9" w:themeColor="accent6" w:themeTint="33" w:fill="auto"/>
              <w:spacing w:before="40" w:after="40"/>
              <w:rPr>
                <w:sz w:val="20"/>
                <w:szCs w:val="20"/>
              </w:rPr>
            </w:pPr>
            <w:r w:rsidRPr="00DF0CAC">
              <w:rPr>
                <w:sz w:val="20"/>
                <w:szCs w:val="20"/>
              </w:rPr>
              <w:t xml:space="preserve">Classifying into vertebrate groups not needed - will be taught in Y4. </w:t>
            </w:r>
          </w:p>
        </w:tc>
      </w:tr>
      <w:tr w:rsidR="00C720AE" w14:paraId="4804762A" w14:textId="282996FB" w:rsidTr="008C5E61">
        <w:trPr>
          <w:trHeight w:val="1463"/>
        </w:trPr>
        <w:tc>
          <w:tcPr>
            <w:tcW w:w="3259" w:type="dxa"/>
            <w:vAlign w:val="center"/>
          </w:tcPr>
          <w:p w14:paraId="648B0656" w14:textId="108035D6" w:rsidR="00C720AE" w:rsidRDefault="00C720AE" w:rsidP="004748C1">
            <w:pPr>
              <w:spacing w:before="40" w:after="40"/>
            </w:pPr>
            <w:r>
              <w:rPr>
                <w:rFonts w:cs="Arial"/>
                <w:sz w:val="20"/>
                <w:szCs w:val="20"/>
              </w:rPr>
              <w:t xml:space="preserve">identify and name a variety of common animals that are carnivores, </w:t>
            </w:r>
            <w:proofErr w:type="gramStart"/>
            <w:r>
              <w:rPr>
                <w:rFonts w:cs="Arial"/>
                <w:sz w:val="20"/>
                <w:szCs w:val="20"/>
              </w:rPr>
              <w:t>herbivores</w:t>
            </w:r>
            <w:proofErr w:type="gramEnd"/>
            <w:r>
              <w:rPr>
                <w:rFonts w:cs="Arial"/>
                <w:sz w:val="20"/>
                <w:szCs w:val="20"/>
              </w:rPr>
              <w:t xml:space="preserve"> and omnivores</w:t>
            </w:r>
          </w:p>
        </w:tc>
        <w:tc>
          <w:tcPr>
            <w:tcW w:w="3540" w:type="dxa"/>
            <w:vAlign w:val="center"/>
          </w:tcPr>
          <w:p w14:paraId="447EEF34" w14:textId="10065961" w:rsidR="00C720AE" w:rsidRPr="005E3F22" w:rsidRDefault="00C720AE" w:rsidP="004748C1">
            <w:pPr>
              <w:spacing w:before="40" w:after="40"/>
              <w:rPr>
                <w:sz w:val="20"/>
                <w:szCs w:val="20"/>
              </w:rPr>
            </w:pPr>
            <w:r w:rsidRPr="002667CD">
              <w:rPr>
                <w:rFonts w:cs="Arial"/>
                <w:b/>
                <w:bCs/>
                <w:sz w:val="20"/>
                <w:szCs w:val="20"/>
              </w:rPr>
              <w:t>group animals according to what they eat [Y1],</w:t>
            </w:r>
            <w:r>
              <w:rPr>
                <w:rFonts w:cs="Arial"/>
                <w:sz w:val="20"/>
                <w:szCs w:val="20"/>
              </w:rPr>
              <w:t xml:space="preserve"> describe how animals get their food from other animals and/or from plants, and use simple food chains to describe these relationships [Y2]</w:t>
            </w:r>
          </w:p>
        </w:tc>
        <w:tc>
          <w:tcPr>
            <w:tcW w:w="1701" w:type="dxa"/>
            <w:vAlign w:val="center"/>
          </w:tcPr>
          <w:p w14:paraId="54AB6F30" w14:textId="39F8CBB8" w:rsidR="00C720AE" w:rsidRPr="005E3F22" w:rsidRDefault="00D370C4" w:rsidP="004748C1">
            <w:pPr>
              <w:spacing w:before="40" w:after="40"/>
              <w:rPr>
                <w:sz w:val="20"/>
                <w:szCs w:val="20"/>
              </w:rPr>
            </w:pPr>
            <w:r>
              <w:rPr>
                <w:sz w:val="20"/>
                <w:szCs w:val="20"/>
              </w:rPr>
              <w:t xml:space="preserve">Y2 </w:t>
            </w:r>
            <w:r w:rsidR="00C720AE">
              <w:rPr>
                <w:sz w:val="20"/>
                <w:szCs w:val="20"/>
              </w:rPr>
              <w:t>Habitats unit</w:t>
            </w:r>
          </w:p>
        </w:tc>
        <w:tc>
          <w:tcPr>
            <w:tcW w:w="3119" w:type="dxa"/>
            <w:vMerge/>
            <w:vAlign w:val="center"/>
          </w:tcPr>
          <w:p w14:paraId="4FD56159" w14:textId="77777777" w:rsidR="00C720AE" w:rsidRPr="005E3F22" w:rsidRDefault="00C720AE" w:rsidP="004748C1">
            <w:pPr>
              <w:spacing w:before="40" w:after="40"/>
              <w:rPr>
                <w:sz w:val="20"/>
                <w:szCs w:val="20"/>
              </w:rPr>
            </w:pPr>
          </w:p>
        </w:tc>
        <w:tc>
          <w:tcPr>
            <w:tcW w:w="3685" w:type="dxa"/>
            <w:vAlign w:val="center"/>
          </w:tcPr>
          <w:p w14:paraId="5E91D759" w14:textId="56FF42D9" w:rsidR="00C720AE" w:rsidRPr="00DF0CAC" w:rsidRDefault="00C720AE" w:rsidP="00DF0CAC">
            <w:pPr>
              <w:shd w:val="solid" w:color="E2EFD9" w:themeColor="accent6" w:themeTint="33" w:fill="auto"/>
              <w:spacing w:before="40" w:after="40"/>
              <w:rPr>
                <w:sz w:val="20"/>
                <w:szCs w:val="20"/>
              </w:rPr>
            </w:pPr>
            <w:r w:rsidRPr="00DF0CAC">
              <w:rPr>
                <w:sz w:val="20"/>
                <w:szCs w:val="20"/>
              </w:rPr>
              <w:t xml:space="preserve">Will be covered </w:t>
            </w:r>
            <w:r w:rsidR="000213BC" w:rsidRPr="00DF0CAC">
              <w:rPr>
                <w:sz w:val="20"/>
                <w:szCs w:val="20"/>
              </w:rPr>
              <w:t xml:space="preserve">naturally </w:t>
            </w:r>
            <w:r w:rsidRPr="00DF0CAC">
              <w:rPr>
                <w:sz w:val="20"/>
                <w:szCs w:val="20"/>
              </w:rPr>
              <w:t>through teaching of feeding relationships in habitats unit</w:t>
            </w:r>
          </w:p>
        </w:tc>
      </w:tr>
      <w:tr w:rsidR="00C720AE" w14:paraId="07BF1D68" w14:textId="1BFF6C11" w:rsidTr="008C5E61">
        <w:trPr>
          <w:trHeight w:val="1696"/>
        </w:trPr>
        <w:tc>
          <w:tcPr>
            <w:tcW w:w="3259" w:type="dxa"/>
            <w:vAlign w:val="center"/>
          </w:tcPr>
          <w:p w14:paraId="6E35F322" w14:textId="78ABB97A" w:rsidR="00C720AE" w:rsidRPr="007A7199" w:rsidRDefault="00C720AE" w:rsidP="004748C1">
            <w:pPr>
              <w:spacing w:before="40" w:after="40"/>
              <w:rPr>
                <w:rFonts w:cstheme="minorHAnsi"/>
                <w:sz w:val="20"/>
                <w:szCs w:val="20"/>
              </w:rPr>
            </w:pPr>
            <w:r>
              <w:rPr>
                <w:rFonts w:cs="Arial"/>
                <w:sz w:val="20"/>
                <w:szCs w:val="20"/>
              </w:rPr>
              <w:t xml:space="preserve">describe and compare the structure of a variety of common animals (fish, amphibians, reptiles, </w:t>
            </w:r>
            <w:proofErr w:type="gramStart"/>
            <w:r>
              <w:rPr>
                <w:rFonts w:cs="Arial"/>
                <w:sz w:val="20"/>
                <w:szCs w:val="20"/>
              </w:rPr>
              <w:t>birds</w:t>
            </w:r>
            <w:proofErr w:type="gramEnd"/>
            <w:r>
              <w:rPr>
                <w:rFonts w:cs="Arial"/>
                <w:sz w:val="20"/>
                <w:szCs w:val="20"/>
              </w:rPr>
              <w:t xml:space="preserve"> and mammals, including pets)</w:t>
            </w:r>
          </w:p>
        </w:tc>
        <w:tc>
          <w:tcPr>
            <w:tcW w:w="3540" w:type="dxa"/>
            <w:vAlign w:val="center"/>
          </w:tcPr>
          <w:p w14:paraId="26BD634D" w14:textId="3DC68036" w:rsidR="00C720AE" w:rsidRPr="002667CD" w:rsidRDefault="00C720AE" w:rsidP="004748C1">
            <w:pPr>
              <w:spacing w:before="40" w:after="40"/>
              <w:rPr>
                <w:b/>
                <w:bCs/>
                <w:sz w:val="20"/>
                <w:szCs w:val="20"/>
              </w:rPr>
            </w:pPr>
            <w:r w:rsidRPr="002667CD">
              <w:rPr>
                <w:rFonts w:cs="Arial"/>
                <w:b/>
                <w:bCs/>
                <w:sz w:val="20"/>
                <w:szCs w:val="20"/>
              </w:rPr>
              <w:t>describe and compare the observable features of animals from a range of groups [Y1]</w:t>
            </w:r>
          </w:p>
        </w:tc>
        <w:tc>
          <w:tcPr>
            <w:tcW w:w="1701" w:type="dxa"/>
            <w:vAlign w:val="center"/>
          </w:tcPr>
          <w:p w14:paraId="4BEAD8CC" w14:textId="53ADCB87" w:rsidR="00C720AE" w:rsidRDefault="00D370C4" w:rsidP="004748C1">
            <w:pPr>
              <w:spacing w:before="40" w:after="40"/>
              <w:rPr>
                <w:sz w:val="20"/>
                <w:szCs w:val="20"/>
              </w:rPr>
            </w:pPr>
            <w:r>
              <w:rPr>
                <w:sz w:val="20"/>
                <w:szCs w:val="20"/>
              </w:rPr>
              <w:t xml:space="preserve">Y2 </w:t>
            </w:r>
            <w:r w:rsidR="00C720AE">
              <w:rPr>
                <w:sz w:val="20"/>
                <w:szCs w:val="20"/>
              </w:rPr>
              <w:t xml:space="preserve">Habitats unit </w:t>
            </w:r>
          </w:p>
          <w:p w14:paraId="10B1D315" w14:textId="23082E11" w:rsidR="00C720AE" w:rsidRDefault="00C720AE" w:rsidP="004748C1">
            <w:pPr>
              <w:spacing w:before="40" w:after="40"/>
              <w:rPr>
                <w:sz w:val="20"/>
                <w:szCs w:val="20"/>
              </w:rPr>
            </w:pPr>
            <w:r>
              <w:rPr>
                <w:sz w:val="20"/>
                <w:szCs w:val="20"/>
              </w:rPr>
              <w:t>or</w:t>
            </w:r>
          </w:p>
          <w:p w14:paraId="4A9755DE" w14:textId="65A961D2" w:rsidR="00C720AE" w:rsidRPr="005E3F22" w:rsidRDefault="00D370C4" w:rsidP="004748C1">
            <w:pPr>
              <w:spacing w:before="40" w:after="40"/>
              <w:rPr>
                <w:sz w:val="20"/>
                <w:szCs w:val="20"/>
              </w:rPr>
            </w:pPr>
            <w:r>
              <w:rPr>
                <w:sz w:val="20"/>
                <w:szCs w:val="20"/>
              </w:rPr>
              <w:t xml:space="preserve">Y4 </w:t>
            </w:r>
            <w:r w:rsidR="00C720AE">
              <w:rPr>
                <w:sz w:val="20"/>
                <w:szCs w:val="20"/>
              </w:rPr>
              <w:t>Habitats unit</w:t>
            </w:r>
          </w:p>
        </w:tc>
        <w:tc>
          <w:tcPr>
            <w:tcW w:w="3119" w:type="dxa"/>
            <w:vMerge/>
            <w:vAlign w:val="center"/>
          </w:tcPr>
          <w:p w14:paraId="2AC5F7C5" w14:textId="47EFC6D4" w:rsidR="00C720AE" w:rsidRPr="005E3F22" w:rsidRDefault="00C720AE" w:rsidP="004748C1">
            <w:pPr>
              <w:spacing w:before="40" w:after="40"/>
              <w:rPr>
                <w:sz w:val="20"/>
                <w:szCs w:val="20"/>
              </w:rPr>
            </w:pPr>
          </w:p>
        </w:tc>
        <w:tc>
          <w:tcPr>
            <w:tcW w:w="3685" w:type="dxa"/>
            <w:vAlign w:val="center"/>
          </w:tcPr>
          <w:p w14:paraId="30E18FE2" w14:textId="753D82B4" w:rsidR="00C720AE" w:rsidRPr="00DF0CAC" w:rsidRDefault="00C720AE" w:rsidP="00DF0CAC">
            <w:pPr>
              <w:shd w:val="solid" w:color="FBE4D5" w:themeColor="accent2" w:themeTint="33" w:fill="auto"/>
              <w:spacing w:before="40" w:after="40"/>
              <w:rPr>
                <w:sz w:val="20"/>
                <w:szCs w:val="20"/>
              </w:rPr>
            </w:pPr>
            <w:r w:rsidRPr="00DF0CAC">
              <w:rPr>
                <w:sz w:val="20"/>
                <w:szCs w:val="20"/>
              </w:rPr>
              <w:t>Some description and comparison of features specific to different animal groups is likely to occur naturally when identifying animals in Y2 habitats unit and more specific teaching could be included if time. If not, this can be included in Y4</w:t>
            </w:r>
          </w:p>
        </w:tc>
      </w:tr>
      <w:tr w:rsidR="007A7199" w14:paraId="0B563B9F" w14:textId="5859A46C" w:rsidTr="008C5E61">
        <w:trPr>
          <w:trHeight w:val="2401"/>
        </w:trPr>
        <w:tc>
          <w:tcPr>
            <w:tcW w:w="3259" w:type="dxa"/>
            <w:vAlign w:val="center"/>
          </w:tcPr>
          <w:p w14:paraId="49D7D448" w14:textId="1605E391" w:rsidR="007A7199" w:rsidRPr="00B07B8D" w:rsidRDefault="007A7199" w:rsidP="004748C1">
            <w:pPr>
              <w:spacing w:before="40" w:after="40"/>
              <w:rPr>
                <w:rFonts w:cs="Arial"/>
                <w:sz w:val="20"/>
                <w:szCs w:val="20"/>
              </w:rPr>
            </w:pPr>
            <w:r>
              <w:rPr>
                <w:rFonts w:cs="Arial"/>
                <w:sz w:val="20"/>
                <w:szCs w:val="20"/>
              </w:rPr>
              <w:t>identify, name, draw and label the basic parts of the human body</w:t>
            </w:r>
            <w:r w:rsidR="00B07B8D">
              <w:rPr>
                <w:rFonts w:cs="Arial"/>
                <w:sz w:val="20"/>
                <w:szCs w:val="20"/>
              </w:rPr>
              <w:t xml:space="preserve"> </w:t>
            </w:r>
            <w:r>
              <w:rPr>
                <w:rFonts w:cs="Arial"/>
                <w:sz w:val="20"/>
                <w:szCs w:val="20"/>
              </w:rPr>
              <w:t>and say which part of the body is associated with each sense.</w:t>
            </w:r>
          </w:p>
        </w:tc>
        <w:tc>
          <w:tcPr>
            <w:tcW w:w="3540" w:type="dxa"/>
            <w:vAlign w:val="center"/>
          </w:tcPr>
          <w:p w14:paraId="77F79C27" w14:textId="3DF0C1EF" w:rsidR="007A7199" w:rsidRPr="00E1225D" w:rsidRDefault="00566694" w:rsidP="004748C1">
            <w:pPr>
              <w:pStyle w:val="bulletundertext"/>
              <w:numPr>
                <w:ilvl w:val="0"/>
                <w:numId w:val="0"/>
              </w:numPr>
              <w:tabs>
                <w:tab w:val="left" w:pos="720"/>
              </w:tabs>
              <w:spacing w:before="40" w:after="40" w:line="240" w:lineRule="auto"/>
              <w:rPr>
                <w:rFonts w:asciiTheme="minorHAnsi" w:hAnsiTheme="minorHAnsi" w:cstheme="minorHAnsi"/>
                <w:color w:val="000000" w:themeColor="text1"/>
                <w:sz w:val="20"/>
                <w:szCs w:val="20"/>
              </w:rPr>
            </w:pPr>
            <w:r w:rsidRPr="002667CD">
              <w:rPr>
                <w:rFonts w:ascii="Calibri" w:eastAsia="Calibri" w:hAnsi="Calibri"/>
                <w:b/>
                <w:bCs/>
                <w:sz w:val="20"/>
                <w:szCs w:val="20"/>
                <w:lang w:eastAsia="en-US"/>
              </w:rPr>
              <w:t>name and locate parts of the human body, including those related to the senses [Y1],</w:t>
            </w:r>
            <w:r w:rsidRPr="00566694">
              <w:rPr>
                <w:rFonts w:ascii="Calibri" w:eastAsia="Calibri" w:hAnsi="Calibri"/>
                <w:sz w:val="20"/>
                <w:szCs w:val="20"/>
                <w:lang w:eastAsia="en-US"/>
              </w:rPr>
              <w:t xml:space="preserve"> and describe the importance of exercise, a balanced diet and hygiene for humans [Y2]</w:t>
            </w:r>
          </w:p>
        </w:tc>
        <w:tc>
          <w:tcPr>
            <w:tcW w:w="1701" w:type="dxa"/>
            <w:vAlign w:val="center"/>
          </w:tcPr>
          <w:p w14:paraId="752C4DE2" w14:textId="5F86C9BD" w:rsidR="00D425E1" w:rsidRDefault="00D370C4" w:rsidP="004748C1">
            <w:pPr>
              <w:spacing w:before="40" w:after="40"/>
              <w:rPr>
                <w:sz w:val="20"/>
                <w:szCs w:val="20"/>
              </w:rPr>
            </w:pPr>
            <w:r>
              <w:rPr>
                <w:sz w:val="20"/>
                <w:szCs w:val="20"/>
              </w:rPr>
              <w:t xml:space="preserve">Y2 </w:t>
            </w:r>
            <w:r w:rsidR="000A1548">
              <w:rPr>
                <w:sz w:val="20"/>
                <w:szCs w:val="20"/>
              </w:rPr>
              <w:t>Animals</w:t>
            </w:r>
            <w:r w:rsidR="00FD01FD">
              <w:rPr>
                <w:sz w:val="20"/>
                <w:szCs w:val="20"/>
              </w:rPr>
              <w:t xml:space="preserve"> </w:t>
            </w:r>
            <w:r>
              <w:rPr>
                <w:sz w:val="20"/>
                <w:szCs w:val="20"/>
              </w:rPr>
              <w:t>unit</w:t>
            </w:r>
          </w:p>
          <w:p w14:paraId="1A726D42" w14:textId="1132306B" w:rsidR="00F93C0F" w:rsidRDefault="00C720AE" w:rsidP="004748C1">
            <w:pPr>
              <w:spacing w:before="40" w:after="40"/>
              <w:rPr>
                <w:sz w:val="20"/>
                <w:szCs w:val="20"/>
              </w:rPr>
            </w:pPr>
            <w:r>
              <w:rPr>
                <w:sz w:val="20"/>
                <w:szCs w:val="20"/>
              </w:rPr>
              <w:t>o</w:t>
            </w:r>
            <w:r w:rsidR="00F93C0F">
              <w:rPr>
                <w:sz w:val="20"/>
                <w:szCs w:val="20"/>
              </w:rPr>
              <w:t xml:space="preserve">r </w:t>
            </w:r>
          </w:p>
          <w:p w14:paraId="712E87BD" w14:textId="509339FD" w:rsidR="00D425E1" w:rsidRPr="005E3F22" w:rsidRDefault="00D370C4" w:rsidP="004748C1">
            <w:pPr>
              <w:spacing w:before="40" w:after="40"/>
              <w:rPr>
                <w:sz w:val="20"/>
                <w:szCs w:val="20"/>
              </w:rPr>
            </w:pPr>
            <w:r>
              <w:rPr>
                <w:sz w:val="20"/>
                <w:szCs w:val="20"/>
              </w:rPr>
              <w:t xml:space="preserve">Y3 </w:t>
            </w:r>
            <w:r w:rsidR="00F93C0F">
              <w:rPr>
                <w:sz w:val="20"/>
                <w:szCs w:val="20"/>
              </w:rPr>
              <w:t xml:space="preserve">Animals </w:t>
            </w:r>
            <w:r>
              <w:rPr>
                <w:sz w:val="20"/>
                <w:szCs w:val="20"/>
              </w:rPr>
              <w:t>unit</w:t>
            </w:r>
          </w:p>
        </w:tc>
        <w:tc>
          <w:tcPr>
            <w:tcW w:w="3119" w:type="dxa"/>
            <w:vAlign w:val="center"/>
          </w:tcPr>
          <w:p w14:paraId="51E28E31" w14:textId="0DAFF647" w:rsidR="00761C62" w:rsidRDefault="00F50D99" w:rsidP="004748C1">
            <w:pPr>
              <w:spacing w:before="40" w:after="40"/>
              <w:rPr>
                <w:sz w:val="20"/>
                <w:szCs w:val="20"/>
              </w:rPr>
            </w:pPr>
            <w:r>
              <w:rPr>
                <w:sz w:val="20"/>
                <w:szCs w:val="20"/>
              </w:rPr>
              <w:t xml:space="preserve">Simon </w:t>
            </w:r>
            <w:r w:rsidR="00B07B8D">
              <w:rPr>
                <w:sz w:val="20"/>
                <w:szCs w:val="20"/>
              </w:rPr>
              <w:t>S</w:t>
            </w:r>
            <w:r>
              <w:rPr>
                <w:sz w:val="20"/>
                <w:szCs w:val="20"/>
              </w:rPr>
              <w:t>ays body parts game</w:t>
            </w:r>
            <w:r w:rsidR="00B07B8D">
              <w:rPr>
                <w:sz w:val="20"/>
                <w:szCs w:val="20"/>
              </w:rPr>
              <w:t xml:space="preserve"> including show me which body part you use for seeing etc</w:t>
            </w:r>
            <w:r w:rsidR="00F93C0F">
              <w:rPr>
                <w:sz w:val="20"/>
                <w:szCs w:val="20"/>
              </w:rPr>
              <w:t xml:space="preserve"> (</w:t>
            </w:r>
            <w:r w:rsidR="00C720AE">
              <w:rPr>
                <w:sz w:val="20"/>
                <w:szCs w:val="20"/>
              </w:rPr>
              <w:t>Y</w:t>
            </w:r>
            <w:r w:rsidR="00F93C0F">
              <w:rPr>
                <w:sz w:val="20"/>
                <w:szCs w:val="20"/>
              </w:rPr>
              <w:t>2)</w:t>
            </w:r>
          </w:p>
          <w:p w14:paraId="211A5C5E" w14:textId="0F0A89AB" w:rsidR="00F93C0F" w:rsidRPr="005E3F22" w:rsidRDefault="00F93C0F" w:rsidP="004748C1">
            <w:pPr>
              <w:spacing w:before="40" w:after="40"/>
              <w:rPr>
                <w:sz w:val="20"/>
                <w:szCs w:val="20"/>
              </w:rPr>
            </w:pPr>
            <w:r>
              <w:rPr>
                <w:sz w:val="20"/>
                <w:szCs w:val="20"/>
              </w:rPr>
              <w:t>Draw a body outline and label the external parts you know the names of. Now draw what you think is inside the arms and legs. Is there anything similar you can draw inside other parts of the body?</w:t>
            </w:r>
            <w:r w:rsidR="00C720AE">
              <w:rPr>
                <w:sz w:val="20"/>
                <w:szCs w:val="20"/>
              </w:rPr>
              <w:t xml:space="preserve"> (Y3)</w:t>
            </w:r>
          </w:p>
        </w:tc>
        <w:tc>
          <w:tcPr>
            <w:tcW w:w="3685" w:type="dxa"/>
            <w:vAlign w:val="center"/>
          </w:tcPr>
          <w:p w14:paraId="69CD527A" w14:textId="669F65AE" w:rsidR="007A7199" w:rsidRPr="00DF0CAC" w:rsidRDefault="000F62C2" w:rsidP="00DF0CAC">
            <w:pPr>
              <w:shd w:val="solid" w:color="FBE4D5" w:themeColor="accent2" w:themeTint="33" w:fill="auto"/>
              <w:spacing w:before="40" w:after="40"/>
              <w:rPr>
                <w:sz w:val="20"/>
                <w:szCs w:val="20"/>
              </w:rPr>
            </w:pPr>
            <w:r w:rsidRPr="00DF0CAC">
              <w:rPr>
                <w:sz w:val="20"/>
                <w:szCs w:val="20"/>
              </w:rPr>
              <w:t>Most children should have knowledge from EYFS.</w:t>
            </w:r>
          </w:p>
          <w:p w14:paraId="02059C7A" w14:textId="32148579" w:rsidR="00D425E1" w:rsidRPr="005E3F22" w:rsidRDefault="00C87DD6" w:rsidP="00DF0CAC">
            <w:pPr>
              <w:shd w:val="solid" w:color="FBE4D5" w:themeColor="accent2" w:themeTint="33" w:fill="auto"/>
              <w:spacing w:before="40" w:after="40"/>
              <w:rPr>
                <w:sz w:val="20"/>
                <w:szCs w:val="20"/>
              </w:rPr>
            </w:pPr>
            <w:r w:rsidRPr="00DF0CAC">
              <w:rPr>
                <w:sz w:val="20"/>
                <w:szCs w:val="20"/>
              </w:rPr>
              <w:t>Gaps can be addressed by extra teaching in either Y2 or Y3 depending on time.</w:t>
            </w:r>
          </w:p>
        </w:tc>
      </w:tr>
    </w:tbl>
    <w:p w14:paraId="59BCDA33" w14:textId="77777777" w:rsidR="002464F9" w:rsidRDefault="002464F9">
      <w:r>
        <w:br w:type="page"/>
      </w:r>
    </w:p>
    <w:p w14:paraId="04AD81E0" w14:textId="77777777" w:rsidR="004748C1" w:rsidRDefault="004748C1" w:rsidP="002464F9">
      <w:pPr>
        <w:spacing w:after="120"/>
      </w:pPr>
    </w:p>
    <w:tbl>
      <w:tblPr>
        <w:tblStyle w:val="TableGrid"/>
        <w:tblW w:w="0" w:type="auto"/>
        <w:tblLook w:val="04A0" w:firstRow="1" w:lastRow="0" w:firstColumn="1" w:lastColumn="0" w:noHBand="0" w:noVBand="1"/>
      </w:tblPr>
      <w:tblGrid>
        <w:gridCol w:w="3259"/>
        <w:gridCol w:w="3540"/>
        <w:gridCol w:w="1701"/>
        <w:gridCol w:w="3119"/>
        <w:gridCol w:w="3685"/>
      </w:tblGrid>
      <w:tr w:rsidR="004748C1" w14:paraId="5E020276" w14:textId="77777777" w:rsidTr="005D1754">
        <w:tc>
          <w:tcPr>
            <w:tcW w:w="3259" w:type="dxa"/>
            <w:tcBorders>
              <w:top w:val="single" w:sz="4" w:space="0" w:color="auto"/>
            </w:tcBorders>
          </w:tcPr>
          <w:p w14:paraId="3F59CB50" w14:textId="301999E6" w:rsidR="004748C1" w:rsidRPr="005E3F22" w:rsidRDefault="004748C1" w:rsidP="004748C1">
            <w:pPr>
              <w:jc w:val="center"/>
              <w:rPr>
                <w:rFonts w:cs="Arial"/>
                <w:b/>
                <w:bCs/>
                <w:sz w:val="20"/>
                <w:szCs w:val="20"/>
              </w:rPr>
            </w:pPr>
            <w:r w:rsidRPr="00E45E34">
              <w:rPr>
                <w:b/>
                <w:bCs/>
                <w:sz w:val="20"/>
                <w:szCs w:val="20"/>
              </w:rPr>
              <w:t>NC statement missed</w:t>
            </w:r>
          </w:p>
        </w:tc>
        <w:tc>
          <w:tcPr>
            <w:tcW w:w="3540" w:type="dxa"/>
            <w:tcBorders>
              <w:top w:val="single" w:sz="4" w:space="0" w:color="auto"/>
            </w:tcBorders>
          </w:tcPr>
          <w:p w14:paraId="72D995AD" w14:textId="6131EC03" w:rsidR="004748C1" w:rsidRPr="005E3F22" w:rsidRDefault="004748C1" w:rsidP="004748C1">
            <w:pPr>
              <w:jc w:val="center"/>
              <w:rPr>
                <w:rFonts w:cs="Arial"/>
                <w:b/>
                <w:bCs/>
                <w:sz w:val="20"/>
                <w:szCs w:val="20"/>
              </w:rPr>
            </w:pPr>
            <w:r>
              <w:rPr>
                <w:b/>
                <w:bCs/>
                <w:sz w:val="20"/>
                <w:szCs w:val="20"/>
              </w:rPr>
              <w:t>End of KS2 TAF statement</w:t>
            </w:r>
          </w:p>
        </w:tc>
        <w:tc>
          <w:tcPr>
            <w:tcW w:w="1701" w:type="dxa"/>
            <w:tcBorders>
              <w:top w:val="single" w:sz="4" w:space="0" w:color="auto"/>
            </w:tcBorders>
          </w:tcPr>
          <w:p w14:paraId="204FF0FB" w14:textId="533818AA" w:rsidR="004748C1" w:rsidRPr="005E3F22" w:rsidRDefault="004748C1" w:rsidP="004748C1">
            <w:pPr>
              <w:jc w:val="center"/>
              <w:rPr>
                <w:rFonts w:cs="Arial"/>
                <w:b/>
                <w:bCs/>
                <w:sz w:val="20"/>
                <w:szCs w:val="20"/>
              </w:rPr>
            </w:pPr>
            <w:r w:rsidRPr="00E45E34">
              <w:rPr>
                <w:b/>
                <w:bCs/>
                <w:sz w:val="20"/>
                <w:szCs w:val="20"/>
              </w:rPr>
              <w:t>Catch up</w:t>
            </w:r>
          </w:p>
        </w:tc>
        <w:tc>
          <w:tcPr>
            <w:tcW w:w="3119" w:type="dxa"/>
            <w:tcBorders>
              <w:top w:val="single" w:sz="4" w:space="0" w:color="auto"/>
            </w:tcBorders>
          </w:tcPr>
          <w:p w14:paraId="35DC8CA6" w14:textId="2A1708FA" w:rsidR="004748C1" w:rsidRPr="005E3F22" w:rsidRDefault="004748C1" w:rsidP="004748C1">
            <w:pPr>
              <w:jc w:val="center"/>
              <w:rPr>
                <w:rFonts w:cs="Arial"/>
                <w:b/>
                <w:bCs/>
                <w:sz w:val="20"/>
                <w:szCs w:val="20"/>
              </w:rPr>
            </w:pPr>
            <w:r w:rsidRPr="00E45E34">
              <w:rPr>
                <w:b/>
                <w:bCs/>
                <w:sz w:val="20"/>
                <w:szCs w:val="20"/>
              </w:rPr>
              <w:t>Initial assessment</w:t>
            </w:r>
            <w:r>
              <w:rPr>
                <w:b/>
                <w:bCs/>
                <w:sz w:val="20"/>
                <w:szCs w:val="20"/>
              </w:rPr>
              <w:t xml:space="preserve"> suggestions*</w:t>
            </w:r>
          </w:p>
        </w:tc>
        <w:tc>
          <w:tcPr>
            <w:tcW w:w="3685" w:type="dxa"/>
            <w:tcBorders>
              <w:top w:val="single" w:sz="4" w:space="0" w:color="auto"/>
            </w:tcBorders>
            <w:vAlign w:val="center"/>
          </w:tcPr>
          <w:p w14:paraId="50C022C8" w14:textId="77777777" w:rsidR="004748C1" w:rsidRDefault="004748C1" w:rsidP="004748C1">
            <w:pPr>
              <w:jc w:val="center"/>
              <w:rPr>
                <w:b/>
                <w:bCs/>
                <w:sz w:val="20"/>
                <w:szCs w:val="20"/>
              </w:rPr>
            </w:pPr>
            <w:r w:rsidRPr="00E45E34">
              <w:rPr>
                <w:b/>
                <w:bCs/>
                <w:sz w:val="20"/>
                <w:szCs w:val="20"/>
              </w:rPr>
              <w:t>Notes</w:t>
            </w:r>
            <w:r>
              <w:rPr>
                <w:b/>
                <w:bCs/>
                <w:sz w:val="20"/>
                <w:szCs w:val="20"/>
              </w:rPr>
              <w:t xml:space="preserve"> - and highlighted risk</w:t>
            </w:r>
          </w:p>
          <w:p w14:paraId="017AC5C7" w14:textId="760322D4" w:rsidR="004748C1" w:rsidRPr="005E3F22" w:rsidRDefault="004748C1" w:rsidP="004748C1">
            <w:pPr>
              <w:jc w:val="center"/>
              <w:rPr>
                <w:rFonts w:cs="Arial"/>
                <w:b/>
                <w:bCs/>
                <w:sz w:val="20"/>
                <w:szCs w:val="20"/>
              </w:rPr>
            </w:pPr>
            <w:r w:rsidRPr="002429C3">
              <w:rPr>
                <w:sz w:val="20"/>
                <w:szCs w:val="20"/>
              </w:rPr>
              <w:t>(Red will need to be planned explicitly in addition to usual topics, Green will fit readily into current units)</w:t>
            </w:r>
          </w:p>
        </w:tc>
      </w:tr>
      <w:tr w:rsidR="008C5E61" w14:paraId="7DD675BF" w14:textId="77777777" w:rsidTr="00DC20B6">
        <w:tc>
          <w:tcPr>
            <w:tcW w:w="15304" w:type="dxa"/>
            <w:gridSpan w:val="5"/>
          </w:tcPr>
          <w:p w14:paraId="4B39A75D" w14:textId="087E858F" w:rsidR="008C5E61" w:rsidRPr="005E3F22" w:rsidRDefault="008C5E61" w:rsidP="004748C1">
            <w:pPr>
              <w:rPr>
                <w:rFonts w:cs="Arial"/>
                <w:b/>
                <w:bCs/>
                <w:sz w:val="20"/>
                <w:szCs w:val="20"/>
              </w:rPr>
            </w:pPr>
            <w:r>
              <w:rPr>
                <w:rFonts w:cs="Arial"/>
                <w:b/>
                <w:bCs/>
                <w:sz w:val="20"/>
                <w:szCs w:val="20"/>
              </w:rPr>
              <w:t>Year 1</w:t>
            </w:r>
          </w:p>
        </w:tc>
      </w:tr>
      <w:tr w:rsidR="004748C1" w14:paraId="1D54862D" w14:textId="77777777" w:rsidTr="00DC20B6">
        <w:tc>
          <w:tcPr>
            <w:tcW w:w="15304" w:type="dxa"/>
            <w:gridSpan w:val="5"/>
          </w:tcPr>
          <w:p w14:paraId="2A1FB44C" w14:textId="1781194A" w:rsidR="004748C1" w:rsidRPr="005E3F22" w:rsidRDefault="004748C1" w:rsidP="004748C1">
            <w:pPr>
              <w:rPr>
                <w:sz w:val="20"/>
                <w:szCs w:val="20"/>
              </w:rPr>
            </w:pPr>
            <w:r w:rsidRPr="005E3F22">
              <w:rPr>
                <w:rFonts w:cs="Arial"/>
                <w:b/>
                <w:bCs/>
                <w:sz w:val="20"/>
                <w:szCs w:val="20"/>
              </w:rPr>
              <w:t>Everyday materials</w:t>
            </w:r>
          </w:p>
        </w:tc>
      </w:tr>
      <w:tr w:rsidR="004748C1" w14:paraId="5E4202A5" w14:textId="2C50B49C" w:rsidTr="002464F9">
        <w:trPr>
          <w:trHeight w:val="801"/>
        </w:trPr>
        <w:tc>
          <w:tcPr>
            <w:tcW w:w="3259" w:type="dxa"/>
            <w:vAlign w:val="center"/>
          </w:tcPr>
          <w:p w14:paraId="063A0274" w14:textId="4DFDDC15" w:rsidR="004748C1" w:rsidRPr="007A7199" w:rsidRDefault="004748C1" w:rsidP="004748C1">
            <w:pPr>
              <w:spacing w:before="60" w:after="60"/>
              <w:rPr>
                <w:rFonts w:cs="Arial"/>
                <w:sz w:val="20"/>
                <w:szCs w:val="20"/>
              </w:rPr>
            </w:pPr>
            <w:r w:rsidRPr="00C63DCF">
              <w:rPr>
                <w:rFonts w:cstheme="minorHAnsi"/>
                <w:sz w:val="20"/>
                <w:szCs w:val="20"/>
              </w:rPr>
              <w:t xml:space="preserve">distinguish between an object and the material from which it is made </w:t>
            </w:r>
          </w:p>
        </w:tc>
        <w:tc>
          <w:tcPr>
            <w:tcW w:w="3540" w:type="dxa"/>
            <w:vMerge w:val="restart"/>
            <w:vAlign w:val="center"/>
          </w:tcPr>
          <w:p w14:paraId="7A7CDEC0" w14:textId="355D79EB" w:rsidR="004748C1" w:rsidRPr="005E3F22" w:rsidRDefault="004748C1" w:rsidP="004748C1">
            <w:pPr>
              <w:pStyle w:val="bulletundertext"/>
              <w:tabs>
                <w:tab w:val="left" w:pos="720"/>
              </w:tabs>
              <w:spacing w:before="60" w:after="60" w:line="240" w:lineRule="auto"/>
              <w:ind w:left="0"/>
              <w:rPr>
                <w:sz w:val="20"/>
                <w:szCs w:val="20"/>
              </w:rPr>
            </w:pPr>
            <w:r w:rsidRPr="002667CD">
              <w:rPr>
                <w:rFonts w:ascii="Calibri" w:eastAsia="Calibri" w:hAnsi="Calibri"/>
                <w:b/>
                <w:bCs/>
                <w:sz w:val="20"/>
                <w:szCs w:val="20"/>
                <w:lang w:eastAsia="en-US"/>
              </w:rPr>
              <w:t xml:space="preserve">distinguish objects from materials, describe their properties, </w:t>
            </w:r>
            <w:proofErr w:type="gramStart"/>
            <w:r w:rsidRPr="002667CD">
              <w:rPr>
                <w:rFonts w:ascii="Calibri" w:eastAsia="Calibri" w:hAnsi="Calibri"/>
                <w:b/>
                <w:bCs/>
                <w:sz w:val="20"/>
                <w:szCs w:val="20"/>
                <w:lang w:eastAsia="en-US"/>
              </w:rPr>
              <w:t>identify</w:t>
            </w:r>
            <w:proofErr w:type="gramEnd"/>
            <w:r w:rsidRPr="002667CD">
              <w:rPr>
                <w:rFonts w:ascii="Calibri" w:eastAsia="Calibri" w:hAnsi="Calibri"/>
                <w:b/>
                <w:bCs/>
                <w:sz w:val="20"/>
                <w:szCs w:val="20"/>
                <w:lang w:eastAsia="en-US"/>
              </w:rPr>
              <w:t xml:space="preserve"> and group everyday materials [Y1],</w:t>
            </w:r>
            <w:r w:rsidRPr="00F22781">
              <w:rPr>
                <w:rFonts w:ascii="Calibri" w:eastAsia="Calibri" w:hAnsi="Calibri"/>
                <w:sz w:val="20"/>
                <w:szCs w:val="20"/>
                <w:lang w:eastAsia="en-US"/>
              </w:rPr>
              <w:t xml:space="preserve"> and compare their suitability for different uses [Y2].</w:t>
            </w:r>
          </w:p>
        </w:tc>
        <w:tc>
          <w:tcPr>
            <w:tcW w:w="1701" w:type="dxa"/>
            <w:vMerge w:val="restart"/>
            <w:vAlign w:val="center"/>
          </w:tcPr>
          <w:p w14:paraId="237A57F3" w14:textId="7ED86E61" w:rsidR="004748C1" w:rsidRPr="005E3F22" w:rsidRDefault="004748C1" w:rsidP="004748C1">
            <w:pPr>
              <w:rPr>
                <w:sz w:val="20"/>
                <w:szCs w:val="20"/>
              </w:rPr>
            </w:pPr>
            <w:r>
              <w:rPr>
                <w:sz w:val="20"/>
                <w:szCs w:val="20"/>
              </w:rPr>
              <w:t xml:space="preserve">Y2 Materials unit </w:t>
            </w:r>
          </w:p>
        </w:tc>
        <w:tc>
          <w:tcPr>
            <w:tcW w:w="3119" w:type="dxa"/>
            <w:vMerge w:val="restart"/>
            <w:vAlign w:val="center"/>
          </w:tcPr>
          <w:p w14:paraId="28B69F93" w14:textId="0D6457E5" w:rsidR="004748C1" w:rsidRDefault="004748C1" w:rsidP="004748C1">
            <w:pPr>
              <w:rPr>
                <w:sz w:val="20"/>
                <w:szCs w:val="20"/>
              </w:rPr>
            </w:pPr>
            <w:r>
              <w:rPr>
                <w:sz w:val="20"/>
                <w:szCs w:val="20"/>
              </w:rPr>
              <w:t>Sorting activities</w:t>
            </w:r>
          </w:p>
          <w:p w14:paraId="5D8CA699" w14:textId="77E018D4" w:rsidR="004748C1" w:rsidRDefault="004748C1" w:rsidP="004748C1">
            <w:pPr>
              <w:rPr>
                <w:sz w:val="20"/>
                <w:szCs w:val="20"/>
              </w:rPr>
            </w:pPr>
          </w:p>
          <w:p w14:paraId="53D8DBAE" w14:textId="77777777" w:rsidR="004748C1" w:rsidRDefault="004748C1" w:rsidP="004748C1">
            <w:pPr>
              <w:rPr>
                <w:sz w:val="20"/>
                <w:szCs w:val="20"/>
              </w:rPr>
            </w:pPr>
            <w:r>
              <w:rPr>
                <w:sz w:val="20"/>
                <w:szCs w:val="20"/>
              </w:rPr>
              <w:t xml:space="preserve">Find me games e.g. </w:t>
            </w:r>
          </w:p>
          <w:p w14:paraId="32BA0A06" w14:textId="41707CCD" w:rsidR="004748C1" w:rsidRDefault="004748C1" w:rsidP="004748C1">
            <w:pPr>
              <w:rPr>
                <w:sz w:val="20"/>
                <w:szCs w:val="20"/>
              </w:rPr>
            </w:pPr>
            <w:r>
              <w:rPr>
                <w:sz w:val="20"/>
                <w:szCs w:val="20"/>
              </w:rPr>
              <w:t>something which is … (property)</w:t>
            </w:r>
          </w:p>
          <w:p w14:paraId="13708F1B" w14:textId="308A637F" w:rsidR="004748C1" w:rsidRDefault="004748C1" w:rsidP="004748C1">
            <w:pPr>
              <w:rPr>
                <w:sz w:val="20"/>
                <w:szCs w:val="20"/>
              </w:rPr>
            </w:pPr>
            <w:r>
              <w:rPr>
                <w:sz w:val="20"/>
                <w:szCs w:val="20"/>
              </w:rPr>
              <w:t>something made from …</w:t>
            </w:r>
          </w:p>
          <w:p w14:paraId="0DD70841" w14:textId="77777777" w:rsidR="004748C1" w:rsidRDefault="004748C1" w:rsidP="004748C1">
            <w:pPr>
              <w:rPr>
                <w:sz w:val="20"/>
                <w:szCs w:val="20"/>
              </w:rPr>
            </w:pPr>
          </w:p>
          <w:p w14:paraId="278CC3D8" w14:textId="512309BF" w:rsidR="004748C1" w:rsidRPr="005E3F22" w:rsidRDefault="004748C1" w:rsidP="004748C1">
            <w:pPr>
              <w:rPr>
                <w:sz w:val="20"/>
                <w:szCs w:val="20"/>
              </w:rPr>
            </w:pPr>
            <w:proofErr w:type="spellStart"/>
            <w:r>
              <w:rPr>
                <w:sz w:val="20"/>
                <w:szCs w:val="20"/>
              </w:rPr>
              <w:t>Explorify</w:t>
            </w:r>
            <w:proofErr w:type="spellEnd"/>
            <w:r>
              <w:rPr>
                <w:sz w:val="20"/>
                <w:szCs w:val="20"/>
              </w:rPr>
              <w:t xml:space="preserve"> – Synthetic selection (Mystery bag)</w:t>
            </w:r>
          </w:p>
        </w:tc>
        <w:tc>
          <w:tcPr>
            <w:tcW w:w="3685" w:type="dxa"/>
            <w:vMerge w:val="restart"/>
            <w:vAlign w:val="center"/>
          </w:tcPr>
          <w:p w14:paraId="2F2D98AC" w14:textId="3B2486FC" w:rsidR="004748C1" w:rsidRPr="004748C1" w:rsidRDefault="004748C1" w:rsidP="00DF0CAC">
            <w:pPr>
              <w:shd w:val="solid" w:color="FF7E79" w:fill="auto"/>
              <w:rPr>
                <w:color w:val="FF0000"/>
                <w:sz w:val="20"/>
                <w:szCs w:val="20"/>
              </w:rPr>
            </w:pPr>
            <w:r w:rsidRPr="00DF0CAC">
              <w:rPr>
                <w:sz w:val="20"/>
                <w:szCs w:val="20"/>
              </w:rPr>
              <w:t>Year 2 unit will need to be expanded to allow additional time for exploring and testing properties, building on what they will have done in EYFS, addressing gaps in knowledge of material and properties so they can make links to uses.</w:t>
            </w:r>
          </w:p>
        </w:tc>
      </w:tr>
      <w:tr w:rsidR="004748C1" w14:paraId="7C57EE5C" w14:textId="0346BA5B" w:rsidTr="002464F9">
        <w:trPr>
          <w:trHeight w:val="982"/>
        </w:trPr>
        <w:tc>
          <w:tcPr>
            <w:tcW w:w="3259" w:type="dxa"/>
            <w:vAlign w:val="center"/>
          </w:tcPr>
          <w:p w14:paraId="234BEFF7" w14:textId="1EF0F386" w:rsidR="004748C1" w:rsidRDefault="004748C1" w:rsidP="004748C1">
            <w:r w:rsidRPr="00C63DCF">
              <w:rPr>
                <w:rFonts w:cstheme="minorHAnsi"/>
                <w:sz w:val="20"/>
                <w:szCs w:val="20"/>
              </w:rPr>
              <w:t xml:space="preserve">identify and name a variety of everyday materials, including wood, plastic, glass, metal, water, and rock </w:t>
            </w:r>
          </w:p>
        </w:tc>
        <w:tc>
          <w:tcPr>
            <w:tcW w:w="3540" w:type="dxa"/>
            <w:vMerge/>
            <w:vAlign w:val="center"/>
          </w:tcPr>
          <w:p w14:paraId="3341A4A8" w14:textId="35DB58F3" w:rsidR="004748C1" w:rsidRPr="005E3F22" w:rsidRDefault="004748C1" w:rsidP="004748C1">
            <w:pPr>
              <w:pStyle w:val="bulletundertext"/>
              <w:numPr>
                <w:ilvl w:val="0"/>
                <w:numId w:val="0"/>
              </w:numPr>
              <w:tabs>
                <w:tab w:val="left" w:pos="720"/>
              </w:tabs>
              <w:spacing w:before="60" w:after="60" w:line="240" w:lineRule="auto"/>
              <w:rPr>
                <w:sz w:val="20"/>
                <w:szCs w:val="20"/>
              </w:rPr>
            </w:pPr>
          </w:p>
        </w:tc>
        <w:tc>
          <w:tcPr>
            <w:tcW w:w="1701" w:type="dxa"/>
            <w:vMerge/>
            <w:vAlign w:val="center"/>
          </w:tcPr>
          <w:p w14:paraId="78569745" w14:textId="77777777" w:rsidR="004748C1" w:rsidRPr="005E3F22" w:rsidRDefault="004748C1" w:rsidP="004748C1">
            <w:pPr>
              <w:rPr>
                <w:sz w:val="20"/>
                <w:szCs w:val="20"/>
              </w:rPr>
            </w:pPr>
          </w:p>
        </w:tc>
        <w:tc>
          <w:tcPr>
            <w:tcW w:w="3119" w:type="dxa"/>
            <w:vMerge/>
            <w:vAlign w:val="center"/>
          </w:tcPr>
          <w:p w14:paraId="2CF634E5" w14:textId="7D98354B" w:rsidR="004748C1" w:rsidRPr="005E3F22" w:rsidRDefault="004748C1" w:rsidP="004748C1">
            <w:pPr>
              <w:rPr>
                <w:sz w:val="20"/>
                <w:szCs w:val="20"/>
              </w:rPr>
            </w:pPr>
          </w:p>
        </w:tc>
        <w:tc>
          <w:tcPr>
            <w:tcW w:w="3685" w:type="dxa"/>
            <w:vMerge/>
            <w:vAlign w:val="center"/>
          </w:tcPr>
          <w:p w14:paraId="4B67ED8E" w14:textId="77777777" w:rsidR="004748C1" w:rsidRPr="005E3F22" w:rsidRDefault="004748C1" w:rsidP="004748C1">
            <w:pPr>
              <w:rPr>
                <w:sz w:val="20"/>
                <w:szCs w:val="20"/>
              </w:rPr>
            </w:pPr>
          </w:p>
        </w:tc>
      </w:tr>
      <w:tr w:rsidR="004748C1" w14:paraId="1DCA6C9C" w14:textId="6D1138C7" w:rsidTr="002464F9">
        <w:trPr>
          <w:trHeight w:val="996"/>
        </w:trPr>
        <w:tc>
          <w:tcPr>
            <w:tcW w:w="3259" w:type="dxa"/>
            <w:vAlign w:val="center"/>
          </w:tcPr>
          <w:p w14:paraId="54602FF7" w14:textId="1CBB2E67" w:rsidR="004748C1" w:rsidRPr="007A7199" w:rsidRDefault="004748C1" w:rsidP="004748C1">
            <w:pPr>
              <w:pStyle w:val="bulletundertext"/>
              <w:numPr>
                <w:ilvl w:val="0"/>
                <w:numId w:val="0"/>
              </w:numPr>
              <w:tabs>
                <w:tab w:val="left" w:pos="720"/>
              </w:tabs>
              <w:spacing w:before="60" w:after="60" w:line="240" w:lineRule="auto"/>
              <w:rPr>
                <w:rFonts w:asciiTheme="minorHAnsi" w:hAnsiTheme="minorHAnsi" w:cstheme="minorHAnsi"/>
                <w:sz w:val="20"/>
                <w:szCs w:val="20"/>
                <w:lang w:eastAsia="en-US"/>
              </w:rPr>
            </w:pPr>
            <w:r w:rsidRPr="00C63DCF">
              <w:rPr>
                <w:rFonts w:asciiTheme="minorHAnsi" w:hAnsiTheme="minorHAnsi" w:cstheme="minorHAnsi"/>
                <w:sz w:val="20"/>
                <w:szCs w:val="20"/>
                <w:lang w:eastAsia="en-US"/>
              </w:rPr>
              <w:t xml:space="preserve">describe the simple physical properties of a variety of everyday materials </w:t>
            </w:r>
          </w:p>
        </w:tc>
        <w:tc>
          <w:tcPr>
            <w:tcW w:w="3540" w:type="dxa"/>
            <w:vMerge/>
            <w:vAlign w:val="center"/>
          </w:tcPr>
          <w:p w14:paraId="091CE9FB" w14:textId="4AAD436D" w:rsidR="004748C1" w:rsidRPr="005E3F22" w:rsidRDefault="004748C1" w:rsidP="004748C1">
            <w:pPr>
              <w:pStyle w:val="bulletundertext"/>
              <w:numPr>
                <w:ilvl w:val="0"/>
                <w:numId w:val="0"/>
              </w:numPr>
              <w:tabs>
                <w:tab w:val="left" w:pos="720"/>
              </w:tabs>
              <w:spacing w:before="60" w:after="60" w:line="240" w:lineRule="auto"/>
              <w:rPr>
                <w:rFonts w:asciiTheme="minorHAnsi" w:eastAsia="CenturyOldStyleStd-Regular" w:hAnsiTheme="minorHAnsi" w:cstheme="minorHAnsi"/>
                <w:sz w:val="20"/>
                <w:szCs w:val="20"/>
                <w:lang w:eastAsia="en-US"/>
              </w:rPr>
            </w:pPr>
          </w:p>
        </w:tc>
        <w:tc>
          <w:tcPr>
            <w:tcW w:w="1701" w:type="dxa"/>
            <w:vMerge/>
            <w:vAlign w:val="center"/>
          </w:tcPr>
          <w:p w14:paraId="3548EE18" w14:textId="77777777" w:rsidR="004748C1" w:rsidRPr="005E3F22" w:rsidRDefault="004748C1" w:rsidP="004748C1">
            <w:pPr>
              <w:rPr>
                <w:sz w:val="20"/>
                <w:szCs w:val="20"/>
              </w:rPr>
            </w:pPr>
          </w:p>
        </w:tc>
        <w:tc>
          <w:tcPr>
            <w:tcW w:w="3119" w:type="dxa"/>
            <w:vMerge/>
            <w:vAlign w:val="center"/>
          </w:tcPr>
          <w:p w14:paraId="49E2D321" w14:textId="77777777" w:rsidR="004748C1" w:rsidRPr="005E3F22" w:rsidRDefault="004748C1" w:rsidP="004748C1">
            <w:pPr>
              <w:rPr>
                <w:sz w:val="20"/>
                <w:szCs w:val="20"/>
              </w:rPr>
            </w:pPr>
          </w:p>
        </w:tc>
        <w:tc>
          <w:tcPr>
            <w:tcW w:w="3685" w:type="dxa"/>
            <w:vMerge/>
            <w:vAlign w:val="center"/>
          </w:tcPr>
          <w:p w14:paraId="48BC131E" w14:textId="77777777" w:rsidR="004748C1" w:rsidRPr="005E3F22" w:rsidRDefault="004748C1" w:rsidP="004748C1">
            <w:pPr>
              <w:rPr>
                <w:sz w:val="20"/>
                <w:szCs w:val="20"/>
              </w:rPr>
            </w:pPr>
          </w:p>
        </w:tc>
      </w:tr>
      <w:tr w:rsidR="004748C1" w14:paraId="619915D1" w14:textId="7236443B" w:rsidTr="002464F9">
        <w:trPr>
          <w:trHeight w:val="1252"/>
        </w:trPr>
        <w:tc>
          <w:tcPr>
            <w:tcW w:w="3259" w:type="dxa"/>
            <w:vAlign w:val="center"/>
          </w:tcPr>
          <w:p w14:paraId="79B56B6B" w14:textId="295441BF" w:rsidR="004748C1" w:rsidRPr="007A7199" w:rsidRDefault="004748C1" w:rsidP="004748C1">
            <w:pPr>
              <w:pStyle w:val="bulletundertext"/>
              <w:numPr>
                <w:ilvl w:val="0"/>
                <w:numId w:val="0"/>
              </w:numPr>
              <w:tabs>
                <w:tab w:val="left" w:pos="720"/>
              </w:tabs>
              <w:spacing w:before="60" w:after="60" w:line="240" w:lineRule="auto"/>
              <w:rPr>
                <w:rFonts w:asciiTheme="minorHAnsi" w:hAnsiTheme="minorHAnsi" w:cstheme="minorHAnsi"/>
                <w:sz w:val="20"/>
                <w:szCs w:val="20"/>
                <w:lang w:eastAsia="en-US"/>
              </w:rPr>
            </w:pPr>
            <w:r w:rsidRPr="007A7199">
              <w:rPr>
                <w:rFonts w:asciiTheme="minorHAnsi" w:hAnsiTheme="minorHAnsi" w:cstheme="minorHAnsi"/>
                <w:sz w:val="20"/>
                <w:szCs w:val="20"/>
              </w:rPr>
              <w:t xml:space="preserve">compare and group together a variety of everyday materials </w:t>
            </w:r>
            <w:proofErr w:type="gramStart"/>
            <w:r w:rsidRPr="007A7199">
              <w:rPr>
                <w:rFonts w:asciiTheme="minorHAnsi" w:hAnsiTheme="minorHAnsi" w:cstheme="minorHAnsi"/>
                <w:sz w:val="20"/>
                <w:szCs w:val="20"/>
              </w:rPr>
              <w:t>on the basis of</w:t>
            </w:r>
            <w:proofErr w:type="gramEnd"/>
            <w:r w:rsidRPr="007A7199">
              <w:rPr>
                <w:rFonts w:asciiTheme="minorHAnsi" w:hAnsiTheme="minorHAnsi" w:cstheme="minorHAnsi"/>
                <w:sz w:val="20"/>
                <w:szCs w:val="20"/>
              </w:rPr>
              <w:t xml:space="preserve"> their simple physical properties</w:t>
            </w:r>
          </w:p>
        </w:tc>
        <w:tc>
          <w:tcPr>
            <w:tcW w:w="3540" w:type="dxa"/>
            <w:vMerge/>
            <w:vAlign w:val="center"/>
          </w:tcPr>
          <w:p w14:paraId="3FE6E467" w14:textId="77777777" w:rsidR="004748C1" w:rsidRPr="005E3F22" w:rsidRDefault="004748C1" w:rsidP="004748C1">
            <w:pPr>
              <w:rPr>
                <w:sz w:val="20"/>
                <w:szCs w:val="20"/>
              </w:rPr>
            </w:pPr>
          </w:p>
        </w:tc>
        <w:tc>
          <w:tcPr>
            <w:tcW w:w="1701" w:type="dxa"/>
            <w:vMerge/>
            <w:vAlign w:val="center"/>
          </w:tcPr>
          <w:p w14:paraId="17D51910" w14:textId="77777777" w:rsidR="004748C1" w:rsidRPr="005E3F22" w:rsidRDefault="004748C1" w:rsidP="004748C1">
            <w:pPr>
              <w:rPr>
                <w:sz w:val="20"/>
                <w:szCs w:val="20"/>
              </w:rPr>
            </w:pPr>
          </w:p>
        </w:tc>
        <w:tc>
          <w:tcPr>
            <w:tcW w:w="3119" w:type="dxa"/>
            <w:vMerge/>
            <w:vAlign w:val="center"/>
          </w:tcPr>
          <w:p w14:paraId="652F45E4" w14:textId="77777777" w:rsidR="004748C1" w:rsidRPr="005E3F22" w:rsidRDefault="004748C1" w:rsidP="004748C1">
            <w:pPr>
              <w:rPr>
                <w:sz w:val="20"/>
                <w:szCs w:val="20"/>
              </w:rPr>
            </w:pPr>
          </w:p>
        </w:tc>
        <w:tc>
          <w:tcPr>
            <w:tcW w:w="3685" w:type="dxa"/>
            <w:vMerge/>
            <w:vAlign w:val="center"/>
          </w:tcPr>
          <w:p w14:paraId="26E47F93" w14:textId="77777777" w:rsidR="004748C1" w:rsidRPr="005E3F22" w:rsidRDefault="004748C1" w:rsidP="004748C1">
            <w:pPr>
              <w:rPr>
                <w:sz w:val="20"/>
                <w:szCs w:val="20"/>
              </w:rPr>
            </w:pPr>
          </w:p>
        </w:tc>
      </w:tr>
    </w:tbl>
    <w:p w14:paraId="31341EF6" w14:textId="3794A0E1" w:rsidR="004748C1" w:rsidRDefault="004748C1">
      <w:r>
        <w:br w:type="page"/>
      </w:r>
    </w:p>
    <w:p w14:paraId="5BECA596" w14:textId="77777777" w:rsidR="004748C1" w:rsidRDefault="004748C1" w:rsidP="002464F9">
      <w:pPr>
        <w:spacing w:after="120"/>
      </w:pPr>
    </w:p>
    <w:tbl>
      <w:tblPr>
        <w:tblStyle w:val="TableGrid"/>
        <w:tblW w:w="0" w:type="auto"/>
        <w:tblLook w:val="04A0" w:firstRow="1" w:lastRow="0" w:firstColumn="1" w:lastColumn="0" w:noHBand="0" w:noVBand="1"/>
      </w:tblPr>
      <w:tblGrid>
        <w:gridCol w:w="3259"/>
        <w:gridCol w:w="3540"/>
        <w:gridCol w:w="1701"/>
        <w:gridCol w:w="3119"/>
        <w:gridCol w:w="3685"/>
      </w:tblGrid>
      <w:tr w:rsidR="004748C1" w14:paraId="5D65E3F9" w14:textId="77777777" w:rsidTr="004748C1">
        <w:tc>
          <w:tcPr>
            <w:tcW w:w="3259" w:type="dxa"/>
            <w:tcBorders>
              <w:top w:val="single" w:sz="4" w:space="0" w:color="auto"/>
            </w:tcBorders>
          </w:tcPr>
          <w:p w14:paraId="0B034E30" w14:textId="1B629D2A" w:rsidR="004748C1" w:rsidRPr="004748C1" w:rsidRDefault="004748C1" w:rsidP="004748C1">
            <w:pPr>
              <w:pStyle w:val="bulletundertext"/>
              <w:numPr>
                <w:ilvl w:val="0"/>
                <w:numId w:val="0"/>
              </w:numPr>
              <w:tabs>
                <w:tab w:val="left" w:pos="720"/>
              </w:tabs>
              <w:spacing w:before="60" w:after="60" w:line="240" w:lineRule="auto"/>
              <w:jc w:val="center"/>
              <w:rPr>
                <w:rFonts w:asciiTheme="minorHAnsi" w:hAnsiTheme="minorHAnsi" w:cstheme="minorHAnsi"/>
                <w:sz w:val="20"/>
                <w:szCs w:val="20"/>
              </w:rPr>
            </w:pPr>
            <w:r w:rsidRPr="004748C1">
              <w:rPr>
                <w:rFonts w:asciiTheme="minorHAnsi" w:hAnsiTheme="minorHAnsi" w:cstheme="minorHAnsi"/>
                <w:b/>
                <w:bCs/>
                <w:sz w:val="20"/>
                <w:szCs w:val="20"/>
              </w:rPr>
              <w:t>NC statement missed</w:t>
            </w:r>
          </w:p>
        </w:tc>
        <w:tc>
          <w:tcPr>
            <w:tcW w:w="3540" w:type="dxa"/>
            <w:tcBorders>
              <w:top w:val="single" w:sz="4" w:space="0" w:color="auto"/>
            </w:tcBorders>
          </w:tcPr>
          <w:p w14:paraId="18DB4C39" w14:textId="47BFE33B" w:rsidR="004748C1" w:rsidRPr="004748C1" w:rsidRDefault="004748C1" w:rsidP="004748C1">
            <w:pPr>
              <w:jc w:val="center"/>
              <w:rPr>
                <w:rFonts w:cstheme="minorHAnsi"/>
                <w:sz w:val="20"/>
                <w:szCs w:val="20"/>
              </w:rPr>
            </w:pPr>
            <w:r w:rsidRPr="004748C1">
              <w:rPr>
                <w:rFonts w:cstheme="minorHAnsi"/>
                <w:b/>
                <w:bCs/>
                <w:sz w:val="20"/>
                <w:szCs w:val="20"/>
              </w:rPr>
              <w:t>End of KS2 TAF statement</w:t>
            </w:r>
          </w:p>
        </w:tc>
        <w:tc>
          <w:tcPr>
            <w:tcW w:w="1701" w:type="dxa"/>
            <w:tcBorders>
              <w:top w:val="single" w:sz="4" w:space="0" w:color="auto"/>
            </w:tcBorders>
          </w:tcPr>
          <w:p w14:paraId="3007F6CF" w14:textId="277D3576" w:rsidR="004748C1" w:rsidRPr="004748C1" w:rsidRDefault="004748C1" w:rsidP="004748C1">
            <w:pPr>
              <w:jc w:val="center"/>
              <w:rPr>
                <w:rFonts w:cstheme="minorHAnsi"/>
                <w:sz w:val="20"/>
                <w:szCs w:val="20"/>
              </w:rPr>
            </w:pPr>
            <w:r w:rsidRPr="004748C1">
              <w:rPr>
                <w:rFonts w:cstheme="minorHAnsi"/>
                <w:b/>
                <w:bCs/>
                <w:sz w:val="20"/>
                <w:szCs w:val="20"/>
              </w:rPr>
              <w:t>Catch up</w:t>
            </w:r>
          </w:p>
        </w:tc>
        <w:tc>
          <w:tcPr>
            <w:tcW w:w="3119" w:type="dxa"/>
            <w:tcBorders>
              <w:top w:val="single" w:sz="4" w:space="0" w:color="auto"/>
            </w:tcBorders>
          </w:tcPr>
          <w:p w14:paraId="3C941D58" w14:textId="0978C058" w:rsidR="004748C1" w:rsidRPr="004748C1" w:rsidRDefault="004748C1" w:rsidP="004748C1">
            <w:pPr>
              <w:jc w:val="center"/>
              <w:rPr>
                <w:rFonts w:cstheme="minorHAnsi"/>
                <w:sz w:val="20"/>
                <w:szCs w:val="20"/>
              </w:rPr>
            </w:pPr>
            <w:r w:rsidRPr="004748C1">
              <w:rPr>
                <w:rFonts w:cstheme="minorHAnsi"/>
                <w:b/>
                <w:bCs/>
                <w:sz w:val="20"/>
                <w:szCs w:val="20"/>
              </w:rPr>
              <w:t>Initial assessment suggestions*</w:t>
            </w:r>
          </w:p>
        </w:tc>
        <w:tc>
          <w:tcPr>
            <w:tcW w:w="3685" w:type="dxa"/>
            <w:tcBorders>
              <w:top w:val="single" w:sz="4" w:space="0" w:color="auto"/>
            </w:tcBorders>
          </w:tcPr>
          <w:p w14:paraId="7877A697" w14:textId="77777777" w:rsidR="004748C1" w:rsidRPr="004748C1" w:rsidRDefault="004748C1" w:rsidP="004748C1">
            <w:pPr>
              <w:jc w:val="center"/>
              <w:rPr>
                <w:rFonts w:cstheme="minorHAnsi"/>
                <w:b/>
                <w:bCs/>
                <w:sz w:val="20"/>
                <w:szCs w:val="20"/>
              </w:rPr>
            </w:pPr>
            <w:r w:rsidRPr="004748C1">
              <w:rPr>
                <w:rFonts w:cstheme="minorHAnsi"/>
                <w:b/>
                <w:bCs/>
                <w:sz w:val="20"/>
                <w:szCs w:val="20"/>
              </w:rPr>
              <w:t>Notes - and highlighted risk</w:t>
            </w:r>
          </w:p>
          <w:p w14:paraId="19369103" w14:textId="213ED8A8" w:rsidR="004748C1" w:rsidRPr="004748C1" w:rsidRDefault="004748C1" w:rsidP="004748C1">
            <w:pPr>
              <w:jc w:val="center"/>
              <w:rPr>
                <w:rFonts w:cstheme="minorHAnsi"/>
                <w:sz w:val="20"/>
                <w:szCs w:val="20"/>
              </w:rPr>
            </w:pPr>
            <w:r w:rsidRPr="004748C1">
              <w:rPr>
                <w:rFonts w:cstheme="minorHAnsi"/>
                <w:sz w:val="20"/>
                <w:szCs w:val="20"/>
              </w:rPr>
              <w:t>(Red will need to be planned explicitly in addition to usual topics, Green will fit readily into current units)</w:t>
            </w:r>
          </w:p>
        </w:tc>
      </w:tr>
      <w:tr w:rsidR="008C5E61" w14:paraId="769E2B1D" w14:textId="77777777" w:rsidTr="00A60CDD">
        <w:trPr>
          <w:trHeight w:val="238"/>
        </w:trPr>
        <w:tc>
          <w:tcPr>
            <w:tcW w:w="15304" w:type="dxa"/>
            <w:gridSpan w:val="5"/>
          </w:tcPr>
          <w:p w14:paraId="58775FAC" w14:textId="26537DF0" w:rsidR="008C5E61" w:rsidRPr="005E3F22" w:rsidRDefault="008C5E61" w:rsidP="004748C1">
            <w:pPr>
              <w:rPr>
                <w:rFonts w:cstheme="minorHAnsi"/>
                <w:b/>
                <w:bCs/>
                <w:sz w:val="20"/>
                <w:szCs w:val="20"/>
              </w:rPr>
            </w:pPr>
            <w:r>
              <w:rPr>
                <w:rFonts w:cstheme="minorHAnsi"/>
                <w:b/>
                <w:bCs/>
                <w:sz w:val="20"/>
                <w:szCs w:val="20"/>
              </w:rPr>
              <w:t>Year 1</w:t>
            </w:r>
          </w:p>
        </w:tc>
      </w:tr>
      <w:tr w:rsidR="004748C1" w14:paraId="5A051E20" w14:textId="26FEF2DC" w:rsidTr="00A60CDD">
        <w:trPr>
          <w:trHeight w:val="238"/>
        </w:trPr>
        <w:tc>
          <w:tcPr>
            <w:tcW w:w="15304" w:type="dxa"/>
            <w:gridSpan w:val="5"/>
          </w:tcPr>
          <w:p w14:paraId="1DB7AE34" w14:textId="309E1ABE" w:rsidR="004748C1" w:rsidRPr="005E3F22" w:rsidRDefault="004748C1" w:rsidP="004748C1">
            <w:pPr>
              <w:rPr>
                <w:sz w:val="20"/>
                <w:szCs w:val="20"/>
              </w:rPr>
            </w:pPr>
            <w:r w:rsidRPr="005E3F22">
              <w:rPr>
                <w:rFonts w:cstheme="minorHAnsi"/>
                <w:b/>
                <w:bCs/>
                <w:sz w:val="20"/>
                <w:szCs w:val="20"/>
              </w:rPr>
              <w:t>Seasonal changes</w:t>
            </w:r>
          </w:p>
        </w:tc>
      </w:tr>
      <w:tr w:rsidR="004748C1" w14:paraId="1CED30FD" w14:textId="2AA2B0EC" w:rsidTr="002464F9">
        <w:trPr>
          <w:trHeight w:val="1367"/>
        </w:trPr>
        <w:tc>
          <w:tcPr>
            <w:tcW w:w="3259" w:type="dxa"/>
            <w:vAlign w:val="center"/>
          </w:tcPr>
          <w:p w14:paraId="11619642" w14:textId="1215E5F5" w:rsidR="004748C1" w:rsidRDefault="004748C1" w:rsidP="004748C1">
            <w:pPr>
              <w:spacing w:before="40" w:after="40"/>
            </w:pPr>
            <w:r>
              <w:rPr>
                <w:rFonts w:cs="Arial"/>
                <w:sz w:val="20"/>
                <w:szCs w:val="20"/>
              </w:rPr>
              <w:t>observe and describe weather associated with the seasons and how day length varies.</w:t>
            </w:r>
          </w:p>
        </w:tc>
        <w:tc>
          <w:tcPr>
            <w:tcW w:w="3540" w:type="dxa"/>
            <w:vMerge w:val="restart"/>
            <w:vAlign w:val="center"/>
          </w:tcPr>
          <w:p w14:paraId="67CE1347" w14:textId="366A1778" w:rsidR="004748C1" w:rsidRPr="002667CD" w:rsidRDefault="004748C1" w:rsidP="004748C1">
            <w:pPr>
              <w:spacing w:before="40" w:after="40"/>
              <w:rPr>
                <w:b/>
                <w:bCs/>
                <w:sz w:val="20"/>
                <w:szCs w:val="20"/>
              </w:rPr>
            </w:pPr>
            <w:r w:rsidRPr="002667CD">
              <w:rPr>
                <w:rFonts w:cs="Arial"/>
                <w:b/>
                <w:bCs/>
                <w:sz w:val="20"/>
                <w:szCs w:val="20"/>
              </w:rPr>
              <w:t>describe seasonal changes [Y1]</w:t>
            </w:r>
          </w:p>
        </w:tc>
        <w:tc>
          <w:tcPr>
            <w:tcW w:w="1701" w:type="dxa"/>
            <w:vMerge w:val="restart"/>
            <w:shd w:val="clear" w:color="auto" w:fill="auto"/>
            <w:vAlign w:val="center"/>
          </w:tcPr>
          <w:p w14:paraId="67C67890" w14:textId="0B95C82D" w:rsidR="004748C1" w:rsidRPr="005E3F22" w:rsidRDefault="004748C1" w:rsidP="004748C1">
            <w:pPr>
              <w:spacing w:before="40" w:after="40"/>
              <w:rPr>
                <w:sz w:val="20"/>
                <w:szCs w:val="20"/>
              </w:rPr>
            </w:pPr>
            <w:r>
              <w:rPr>
                <w:sz w:val="20"/>
                <w:szCs w:val="20"/>
              </w:rPr>
              <w:t xml:space="preserve">Y2 or Y4 </w:t>
            </w:r>
            <w:r w:rsidRPr="00500D82">
              <w:rPr>
                <w:sz w:val="20"/>
                <w:szCs w:val="20"/>
              </w:rPr>
              <w:t xml:space="preserve">Ongoing unit </w:t>
            </w:r>
            <w:r>
              <w:rPr>
                <w:sz w:val="20"/>
                <w:szCs w:val="20"/>
              </w:rPr>
              <w:t>-</w:t>
            </w:r>
            <w:r w:rsidRPr="00500D82">
              <w:rPr>
                <w:sz w:val="20"/>
                <w:szCs w:val="20"/>
              </w:rPr>
              <w:t>1 week of weather and habitat observations per season or per half term</w:t>
            </w:r>
            <w:r>
              <w:rPr>
                <w:sz w:val="20"/>
                <w:szCs w:val="20"/>
              </w:rPr>
              <w:t xml:space="preserve"> </w:t>
            </w:r>
          </w:p>
        </w:tc>
        <w:tc>
          <w:tcPr>
            <w:tcW w:w="3119" w:type="dxa"/>
            <w:vMerge w:val="restart"/>
            <w:vAlign w:val="center"/>
          </w:tcPr>
          <w:p w14:paraId="5156F542" w14:textId="581ACA4D" w:rsidR="004748C1" w:rsidRDefault="004748C1" w:rsidP="004748C1">
            <w:pPr>
              <w:spacing w:before="40" w:after="40"/>
              <w:rPr>
                <w:sz w:val="20"/>
                <w:szCs w:val="20"/>
              </w:rPr>
            </w:pPr>
            <w:r>
              <w:rPr>
                <w:sz w:val="20"/>
                <w:szCs w:val="20"/>
              </w:rPr>
              <w:t>Making predictions – what will the weather be like / what changes might we see when we make our next set of observations</w:t>
            </w:r>
          </w:p>
          <w:p w14:paraId="2C95F5C1" w14:textId="77777777" w:rsidR="004748C1" w:rsidRDefault="004748C1" w:rsidP="004748C1">
            <w:pPr>
              <w:spacing w:before="40" w:after="40"/>
              <w:rPr>
                <w:sz w:val="20"/>
                <w:szCs w:val="20"/>
              </w:rPr>
            </w:pPr>
          </w:p>
          <w:p w14:paraId="440C0A1F" w14:textId="6D4BA5D2" w:rsidR="004748C1" w:rsidRPr="005E3F22" w:rsidRDefault="004748C1" w:rsidP="004748C1">
            <w:pPr>
              <w:spacing w:before="40" w:after="40"/>
              <w:rPr>
                <w:sz w:val="20"/>
                <w:szCs w:val="20"/>
              </w:rPr>
            </w:pPr>
            <w:proofErr w:type="spellStart"/>
            <w:r>
              <w:rPr>
                <w:sz w:val="20"/>
                <w:szCs w:val="20"/>
              </w:rPr>
              <w:t>Explorify</w:t>
            </w:r>
            <w:proofErr w:type="spellEnd"/>
            <w:r>
              <w:rPr>
                <w:sz w:val="20"/>
                <w:szCs w:val="20"/>
              </w:rPr>
              <w:t xml:space="preserve"> – Seasons (Video)</w:t>
            </w:r>
          </w:p>
        </w:tc>
        <w:tc>
          <w:tcPr>
            <w:tcW w:w="3685" w:type="dxa"/>
            <w:vMerge w:val="restart"/>
            <w:vAlign w:val="center"/>
          </w:tcPr>
          <w:p w14:paraId="1F64D99D" w14:textId="09CDCAD6" w:rsidR="004748C1" w:rsidRPr="00DF0CAC" w:rsidRDefault="004748C1" w:rsidP="00DF0CAC">
            <w:pPr>
              <w:shd w:val="solid" w:color="FBE4D5" w:themeColor="accent2" w:themeTint="33" w:fill="auto"/>
              <w:spacing w:before="40" w:after="40"/>
              <w:rPr>
                <w:sz w:val="20"/>
                <w:szCs w:val="20"/>
              </w:rPr>
            </w:pPr>
            <w:r w:rsidRPr="00DF0CAC">
              <w:rPr>
                <w:sz w:val="20"/>
                <w:szCs w:val="20"/>
              </w:rPr>
              <w:t xml:space="preserve">Basic knowledge of seasons likely from EYFS. </w:t>
            </w:r>
          </w:p>
          <w:p w14:paraId="595838CD" w14:textId="77777777" w:rsidR="004748C1" w:rsidRPr="00DF0CAC" w:rsidRDefault="004748C1" w:rsidP="00DF0CAC">
            <w:pPr>
              <w:shd w:val="solid" w:color="FBE4D5" w:themeColor="accent2" w:themeTint="33" w:fill="auto"/>
              <w:spacing w:before="40" w:after="40"/>
              <w:rPr>
                <w:sz w:val="20"/>
                <w:szCs w:val="20"/>
              </w:rPr>
            </w:pPr>
            <w:r w:rsidRPr="00DF0CAC">
              <w:rPr>
                <w:sz w:val="20"/>
                <w:szCs w:val="20"/>
              </w:rPr>
              <w:t xml:space="preserve">Could be built into Y2 or Y4 habitats. </w:t>
            </w:r>
          </w:p>
          <w:p w14:paraId="24FCEE36" w14:textId="6CD598EA" w:rsidR="004748C1" w:rsidRPr="00DF0CAC" w:rsidRDefault="004748C1" w:rsidP="00DF0CAC">
            <w:pPr>
              <w:shd w:val="solid" w:color="FBE4D5" w:themeColor="accent2" w:themeTint="33" w:fill="auto"/>
              <w:spacing w:before="40" w:after="40"/>
              <w:rPr>
                <w:sz w:val="20"/>
                <w:szCs w:val="20"/>
              </w:rPr>
            </w:pPr>
            <w:r w:rsidRPr="00DF0CAC">
              <w:rPr>
                <w:sz w:val="20"/>
                <w:szCs w:val="20"/>
              </w:rPr>
              <w:t>Links well to Y2 geography.</w:t>
            </w:r>
          </w:p>
          <w:p w14:paraId="3E6A11C5" w14:textId="5F13B78E" w:rsidR="004748C1" w:rsidRPr="00DF0CAC" w:rsidRDefault="004748C1" w:rsidP="00DF0CAC">
            <w:pPr>
              <w:shd w:val="solid" w:color="FBE4D5" w:themeColor="accent2" w:themeTint="33" w:fill="auto"/>
              <w:spacing w:before="40" w:after="40"/>
              <w:rPr>
                <w:sz w:val="20"/>
                <w:szCs w:val="20"/>
              </w:rPr>
            </w:pPr>
            <w:r w:rsidRPr="00DF0CAC">
              <w:rPr>
                <w:sz w:val="20"/>
                <w:szCs w:val="20"/>
              </w:rPr>
              <w:t xml:space="preserve">Ideally, structure the unit to include short, observations of plants, </w:t>
            </w:r>
            <w:proofErr w:type="gramStart"/>
            <w:r w:rsidRPr="00DF0CAC">
              <w:rPr>
                <w:sz w:val="20"/>
                <w:szCs w:val="20"/>
              </w:rPr>
              <w:t>animals</w:t>
            </w:r>
            <w:proofErr w:type="gramEnd"/>
            <w:r w:rsidRPr="00DF0CAC">
              <w:rPr>
                <w:sz w:val="20"/>
                <w:szCs w:val="20"/>
              </w:rPr>
              <w:t xml:space="preserve"> and weather in local habitats each season or half term prior to main teaching of the unit in summer term.</w:t>
            </w:r>
          </w:p>
        </w:tc>
      </w:tr>
      <w:tr w:rsidR="004748C1" w14:paraId="578E1A3D" w14:textId="063889B6" w:rsidTr="002464F9">
        <w:trPr>
          <w:trHeight w:val="1415"/>
        </w:trPr>
        <w:tc>
          <w:tcPr>
            <w:tcW w:w="3259" w:type="dxa"/>
            <w:vAlign w:val="center"/>
          </w:tcPr>
          <w:p w14:paraId="527D18B3" w14:textId="6D2390FD" w:rsidR="004748C1" w:rsidRDefault="004748C1" w:rsidP="004748C1">
            <w:pPr>
              <w:spacing w:before="40" w:after="40"/>
            </w:pPr>
            <w:r w:rsidRPr="00C63DCF">
              <w:rPr>
                <w:rFonts w:cstheme="minorHAnsi"/>
                <w:sz w:val="20"/>
                <w:szCs w:val="20"/>
              </w:rPr>
              <w:t>observe changes across the four seasons</w:t>
            </w:r>
          </w:p>
        </w:tc>
        <w:tc>
          <w:tcPr>
            <w:tcW w:w="3540" w:type="dxa"/>
            <w:vMerge/>
            <w:vAlign w:val="center"/>
          </w:tcPr>
          <w:p w14:paraId="24296D1C" w14:textId="554AB12E" w:rsidR="004748C1" w:rsidRPr="005E3F22" w:rsidRDefault="004748C1" w:rsidP="004748C1">
            <w:pPr>
              <w:spacing w:before="40" w:after="40"/>
              <w:rPr>
                <w:sz w:val="20"/>
                <w:szCs w:val="20"/>
              </w:rPr>
            </w:pPr>
          </w:p>
        </w:tc>
        <w:tc>
          <w:tcPr>
            <w:tcW w:w="1701" w:type="dxa"/>
            <w:vMerge/>
            <w:shd w:val="clear" w:color="auto" w:fill="auto"/>
            <w:vAlign w:val="center"/>
          </w:tcPr>
          <w:p w14:paraId="644B9C18" w14:textId="73D07781" w:rsidR="004748C1" w:rsidRPr="005E3F22" w:rsidRDefault="004748C1" w:rsidP="004748C1">
            <w:pPr>
              <w:spacing w:before="40" w:after="40"/>
              <w:rPr>
                <w:sz w:val="20"/>
                <w:szCs w:val="20"/>
              </w:rPr>
            </w:pPr>
          </w:p>
        </w:tc>
        <w:tc>
          <w:tcPr>
            <w:tcW w:w="3119" w:type="dxa"/>
            <w:vMerge/>
            <w:vAlign w:val="center"/>
          </w:tcPr>
          <w:p w14:paraId="43B02527" w14:textId="0A636767" w:rsidR="004748C1" w:rsidRPr="005E3F22" w:rsidRDefault="004748C1" w:rsidP="004748C1">
            <w:pPr>
              <w:spacing w:before="40" w:after="40"/>
              <w:rPr>
                <w:sz w:val="20"/>
                <w:szCs w:val="20"/>
              </w:rPr>
            </w:pPr>
          </w:p>
        </w:tc>
        <w:tc>
          <w:tcPr>
            <w:tcW w:w="3685" w:type="dxa"/>
            <w:vMerge/>
            <w:vAlign w:val="center"/>
          </w:tcPr>
          <w:p w14:paraId="4207C81C" w14:textId="76A47D39" w:rsidR="004748C1" w:rsidRPr="005E3F22" w:rsidRDefault="004748C1" w:rsidP="004748C1">
            <w:pPr>
              <w:spacing w:before="40" w:after="40"/>
              <w:rPr>
                <w:sz w:val="20"/>
                <w:szCs w:val="20"/>
              </w:rPr>
            </w:pPr>
          </w:p>
        </w:tc>
      </w:tr>
    </w:tbl>
    <w:p w14:paraId="4BC24A1D" w14:textId="5317170D" w:rsidR="002B1D42" w:rsidRPr="007C61E9" w:rsidRDefault="002B1D42" w:rsidP="00606DD9">
      <w:pPr>
        <w:spacing w:before="120" w:after="0"/>
        <w:rPr>
          <w:rFonts w:cstheme="minorHAnsi"/>
          <w:i/>
          <w:iCs/>
          <w:sz w:val="18"/>
          <w:szCs w:val="18"/>
        </w:rPr>
      </w:pPr>
      <w:r w:rsidRPr="007C61E9">
        <w:rPr>
          <w:rFonts w:cstheme="minorHAnsi"/>
          <w:i/>
          <w:iCs/>
          <w:sz w:val="18"/>
          <w:szCs w:val="18"/>
        </w:rPr>
        <w:t xml:space="preserve">* Main sources of initial assessment activities included in this document </w:t>
      </w:r>
      <w:r w:rsidR="003C5F18">
        <w:rPr>
          <w:rFonts w:cstheme="minorHAnsi"/>
          <w:i/>
          <w:iCs/>
          <w:sz w:val="18"/>
          <w:szCs w:val="18"/>
        </w:rPr>
        <w:t>(further assessment resources ideas are included in the ‘How to Guide’):</w:t>
      </w:r>
    </w:p>
    <w:p w14:paraId="77A213EC" w14:textId="77777777" w:rsidR="002B1D42" w:rsidRPr="007C61E9" w:rsidRDefault="002B1D42" w:rsidP="002B1D42">
      <w:pPr>
        <w:pStyle w:val="ListParagraph"/>
        <w:numPr>
          <w:ilvl w:val="0"/>
          <w:numId w:val="6"/>
        </w:numPr>
        <w:spacing w:after="0"/>
        <w:ind w:left="403" w:hanging="284"/>
        <w:rPr>
          <w:rFonts w:asciiTheme="minorHAnsi" w:hAnsiTheme="minorHAnsi" w:cstheme="minorHAnsi"/>
          <w:i/>
          <w:iCs/>
          <w:sz w:val="18"/>
          <w:szCs w:val="18"/>
        </w:rPr>
      </w:pPr>
      <w:proofErr w:type="spellStart"/>
      <w:r w:rsidRPr="007C61E9">
        <w:rPr>
          <w:rFonts w:asciiTheme="minorHAnsi" w:hAnsiTheme="minorHAnsi" w:cstheme="minorHAnsi"/>
          <w:i/>
          <w:iCs/>
          <w:sz w:val="18"/>
          <w:szCs w:val="18"/>
        </w:rPr>
        <w:t>Explorify</w:t>
      </w:r>
      <w:proofErr w:type="spellEnd"/>
      <w:r w:rsidRPr="007C61E9">
        <w:rPr>
          <w:rFonts w:asciiTheme="minorHAnsi" w:hAnsiTheme="minorHAnsi" w:cstheme="minorHAnsi"/>
          <w:i/>
          <w:iCs/>
          <w:sz w:val="18"/>
          <w:szCs w:val="18"/>
        </w:rPr>
        <w:t xml:space="preserve"> </w:t>
      </w:r>
      <w:hyperlink r:id="rId7" w:history="1">
        <w:r w:rsidRPr="007C61E9">
          <w:rPr>
            <w:rStyle w:val="Hyperlink"/>
            <w:rFonts w:asciiTheme="minorHAnsi" w:hAnsiTheme="minorHAnsi" w:cstheme="minorHAnsi"/>
            <w:i/>
            <w:iCs/>
            <w:sz w:val="18"/>
            <w:szCs w:val="18"/>
          </w:rPr>
          <w:t>https://explorify.wellcome.ac.uk/</w:t>
        </w:r>
      </w:hyperlink>
      <w:r w:rsidRPr="007C61E9">
        <w:rPr>
          <w:rFonts w:asciiTheme="minorHAnsi" w:hAnsiTheme="minorHAnsi" w:cstheme="minorHAnsi"/>
          <w:i/>
          <w:iCs/>
          <w:sz w:val="18"/>
          <w:szCs w:val="18"/>
        </w:rPr>
        <w:t xml:space="preserve">  </w:t>
      </w:r>
    </w:p>
    <w:p w14:paraId="1B5F9D32" w14:textId="55C74FDA" w:rsidR="00126F78" w:rsidRPr="00533CCA" w:rsidRDefault="002B1D42" w:rsidP="00533CCA">
      <w:pPr>
        <w:pStyle w:val="ListParagraph"/>
        <w:numPr>
          <w:ilvl w:val="0"/>
          <w:numId w:val="6"/>
        </w:numPr>
        <w:spacing w:after="0"/>
        <w:ind w:left="403" w:hanging="284"/>
        <w:rPr>
          <w:rFonts w:asciiTheme="minorHAnsi" w:hAnsiTheme="minorHAnsi" w:cstheme="minorHAnsi"/>
          <w:i/>
          <w:iCs/>
          <w:sz w:val="18"/>
          <w:szCs w:val="18"/>
        </w:rPr>
      </w:pPr>
      <w:r w:rsidRPr="007C61E9">
        <w:rPr>
          <w:rFonts w:asciiTheme="minorHAnsi" w:hAnsiTheme="minorHAnsi" w:cstheme="minorHAnsi"/>
          <w:i/>
          <w:iCs/>
          <w:sz w:val="18"/>
          <w:szCs w:val="18"/>
        </w:rPr>
        <w:t xml:space="preserve">Active Assessment – Stuart Naylor, Brenda Keogh, Anne Goldsworthy </w:t>
      </w:r>
      <w:hyperlink r:id="rId8" w:history="1">
        <w:r w:rsidRPr="007C61E9">
          <w:rPr>
            <w:rStyle w:val="Hyperlink"/>
            <w:rFonts w:asciiTheme="minorHAnsi" w:hAnsiTheme="minorHAnsi" w:cstheme="minorHAnsi"/>
            <w:i/>
            <w:iCs/>
            <w:sz w:val="18"/>
            <w:szCs w:val="18"/>
          </w:rPr>
          <w:t>https://www.millgatehouse.co.uk/</w:t>
        </w:r>
      </w:hyperlink>
      <w:r w:rsidRPr="007C61E9">
        <w:rPr>
          <w:rFonts w:asciiTheme="minorHAnsi" w:hAnsiTheme="minorHAnsi" w:cstheme="minorHAnsi"/>
          <w:i/>
          <w:iCs/>
          <w:sz w:val="18"/>
          <w:szCs w:val="18"/>
        </w:rPr>
        <w:t xml:space="preserve"> </w:t>
      </w:r>
    </w:p>
    <w:sectPr w:rsidR="00126F78" w:rsidRPr="00533CCA" w:rsidSect="001E3D21">
      <w:headerReference w:type="default" r:id="rId9"/>
      <w:footerReference w:type="default" r:id="rId10"/>
      <w:pgSz w:w="16838" w:h="11906" w:orient="landscape"/>
      <w:pgMar w:top="851"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E4540" w14:textId="77777777" w:rsidR="00C26B48" w:rsidRDefault="00C26B48" w:rsidP="00847D34">
      <w:pPr>
        <w:spacing w:after="0" w:line="240" w:lineRule="auto"/>
      </w:pPr>
      <w:r>
        <w:separator/>
      </w:r>
    </w:p>
  </w:endnote>
  <w:endnote w:type="continuationSeparator" w:id="0">
    <w:p w14:paraId="66F97297" w14:textId="77777777" w:rsidR="00C26B48" w:rsidRDefault="00C26B48" w:rsidP="0084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87A7C" w14:textId="4483D476" w:rsidR="004748C1" w:rsidRDefault="004748C1">
    <w:pPr>
      <w:pStyle w:val="Footer"/>
    </w:pPr>
    <w:r>
      <w:rPr>
        <w:noProof/>
      </w:rPr>
      <w:drawing>
        <wp:inline distT="0" distB="0" distL="0" distR="0" wp14:anchorId="1351E515" wp14:editId="274CE907">
          <wp:extent cx="1195070" cy="46926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469265"/>
                  </a:xfrm>
                  <a:prstGeom prst="rect">
                    <a:avLst/>
                  </a:prstGeom>
                  <a:noFill/>
                </pic:spPr>
              </pic:pic>
            </a:graphicData>
          </a:graphic>
        </wp:inline>
      </w:drawing>
    </w:r>
    <w:r w:rsidR="00217FC2">
      <w:tab/>
    </w:r>
    <w:r w:rsidR="00217FC2">
      <w:tab/>
    </w:r>
    <w:r w:rsidR="00217FC2">
      <w:tab/>
    </w:r>
    <w:r w:rsidR="00217FC2">
      <w:tab/>
    </w:r>
    <w:r w:rsidR="00217FC2">
      <w:tab/>
    </w:r>
    <w:r w:rsidR="00217FC2">
      <w:tab/>
    </w:r>
    <w:r w:rsidR="00217FC2">
      <w:tab/>
    </w:r>
    <w:r w:rsidR="00217FC2">
      <w:tab/>
    </w:r>
    <w:r w:rsidR="00217FC2">
      <w:tab/>
    </w:r>
    <w:r w:rsidR="00217FC2">
      <w:rPr>
        <w:noProof/>
      </w:rPr>
      <w:drawing>
        <wp:inline distT="0" distB="0" distL="0" distR="0" wp14:anchorId="778B4CCE" wp14:editId="79F4EF0E">
          <wp:extent cx="82296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572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5082D" w14:textId="77777777" w:rsidR="00C26B48" w:rsidRDefault="00C26B48" w:rsidP="00847D34">
      <w:pPr>
        <w:spacing w:after="0" w:line="240" w:lineRule="auto"/>
      </w:pPr>
      <w:r>
        <w:separator/>
      </w:r>
    </w:p>
  </w:footnote>
  <w:footnote w:type="continuationSeparator" w:id="0">
    <w:p w14:paraId="54126F87" w14:textId="77777777" w:rsidR="00C26B48" w:rsidRDefault="00C26B48" w:rsidP="00847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D075" w14:textId="77777777" w:rsidR="001E3D21" w:rsidRDefault="001E3D21" w:rsidP="001E3D21">
    <w:pPr>
      <w:pStyle w:val="Header"/>
    </w:pPr>
    <w:r>
      <w:t xml:space="preserve">Post corona (2020) information and guidance. This document will inform the focus for your next steps to catch up learning. </w:t>
    </w:r>
  </w:p>
  <w:p w14:paraId="0A762447" w14:textId="16385AAE" w:rsidR="00847D34" w:rsidRPr="001E3D21" w:rsidRDefault="001E3D21" w:rsidP="001E3D21">
    <w:pPr>
      <w:pStyle w:val="Header"/>
      <w:spacing w:after="120"/>
    </w:pPr>
    <w:r>
      <w:t>Key stage 1. Moving on from Year 1, Keep CALM and catch up over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7CB"/>
    <w:multiLevelType w:val="hybridMultilevel"/>
    <w:tmpl w:val="484CEE5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F30D9"/>
    <w:multiLevelType w:val="hybridMultilevel"/>
    <w:tmpl w:val="838A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C3AD3"/>
    <w:multiLevelType w:val="hybridMultilevel"/>
    <w:tmpl w:val="05609C44"/>
    <w:lvl w:ilvl="0" w:tplc="515E03F0">
      <w:start w:val="1"/>
      <w:numFmt w:val="bullet"/>
      <w:lvlText w:val=""/>
      <w:lvlJc w:val="left"/>
      <w:pPr>
        <w:ind w:left="360" w:hanging="360"/>
      </w:pPr>
      <w:rPr>
        <w:rFonts w:ascii="Symbol" w:hAnsi="Symbol" w:hint="default"/>
        <w:sz w:val="12"/>
        <w:szCs w:val="1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D8E12FC"/>
    <w:multiLevelType w:val="hybridMultilevel"/>
    <w:tmpl w:val="B2945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FA115A0"/>
    <w:multiLevelType w:val="hybridMultilevel"/>
    <w:tmpl w:val="C6FE7338"/>
    <w:lvl w:ilvl="0" w:tplc="9D2C2256">
      <w:numFmt w:val="bullet"/>
      <w:lvlText w:val="•"/>
      <w:lvlJc w:val="left"/>
      <w:pPr>
        <w:ind w:left="720" w:hanging="600"/>
      </w:pPr>
      <w:rPr>
        <w:rFonts w:ascii="Calibri" w:eastAsiaTheme="minorHAnsi" w:hAnsi="Calibri" w:cs="Calibr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3"/>
  </w:num>
  <w:num w:numId="2">
    <w:abstractNumId w:val="0"/>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34"/>
    <w:rsid w:val="00001B6B"/>
    <w:rsid w:val="000213BC"/>
    <w:rsid w:val="00021966"/>
    <w:rsid w:val="00024551"/>
    <w:rsid w:val="000A1548"/>
    <w:rsid w:val="000F62C2"/>
    <w:rsid w:val="000F6F2D"/>
    <w:rsid w:val="0011112E"/>
    <w:rsid w:val="00126F78"/>
    <w:rsid w:val="00136680"/>
    <w:rsid w:val="001368F4"/>
    <w:rsid w:val="001E3D21"/>
    <w:rsid w:val="00217FC2"/>
    <w:rsid w:val="002464F9"/>
    <w:rsid w:val="002667CD"/>
    <w:rsid w:val="0029459E"/>
    <w:rsid w:val="002A28D2"/>
    <w:rsid w:val="002B14FD"/>
    <w:rsid w:val="002B1D42"/>
    <w:rsid w:val="002B343C"/>
    <w:rsid w:val="002E5E42"/>
    <w:rsid w:val="003104AC"/>
    <w:rsid w:val="00311160"/>
    <w:rsid w:val="00316D2F"/>
    <w:rsid w:val="003C5F18"/>
    <w:rsid w:val="003E2F16"/>
    <w:rsid w:val="003F77B8"/>
    <w:rsid w:val="00421ABE"/>
    <w:rsid w:val="004748C1"/>
    <w:rsid w:val="00480F67"/>
    <w:rsid w:val="004B189F"/>
    <w:rsid w:val="004D2EBC"/>
    <w:rsid w:val="004E2989"/>
    <w:rsid w:val="00500D82"/>
    <w:rsid w:val="00504882"/>
    <w:rsid w:val="005146BB"/>
    <w:rsid w:val="00533CCA"/>
    <w:rsid w:val="00544DC1"/>
    <w:rsid w:val="00566694"/>
    <w:rsid w:val="00566C2D"/>
    <w:rsid w:val="0057135E"/>
    <w:rsid w:val="0058741F"/>
    <w:rsid w:val="005976ED"/>
    <w:rsid w:val="005B1AF3"/>
    <w:rsid w:val="005E3F22"/>
    <w:rsid w:val="005F1152"/>
    <w:rsid w:val="005F1A68"/>
    <w:rsid w:val="00606DD9"/>
    <w:rsid w:val="00647F54"/>
    <w:rsid w:val="007030E7"/>
    <w:rsid w:val="00715029"/>
    <w:rsid w:val="0075213D"/>
    <w:rsid w:val="00756DA5"/>
    <w:rsid w:val="00761C62"/>
    <w:rsid w:val="00785983"/>
    <w:rsid w:val="007A7199"/>
    <w:rsid w:val="007D37BA"/>
    <w:rsid w:val="008010E3"/>
    <w:rsid w:val="0080232E"/>
    <w:rsid w:val="00847D34"/>
    <w:rsid w:val="0087366B"/>
    <w:rsid w:val="008B3228"/>
    <w:rsid w:val="008C31CC"/>
    <w:rsid w:val="008C5E61"/>
    <w:rsid w:val="008D49CA"/>
    <w:rsid w:val="00912B6E"/>
    <w:rsid w:val="00912FCC"/>
    <w:rsid w:val="00915A43"/>
    <w:rsid w:val="00925E6B"/>
    <w:rsid w:val="009738B4"/>
    <w:rsid w:val="00992B6E"/>
    <w:rsid w:val="00A347C1"/>
    <w:rsid w:val="00A6126E"/>
    <w:rsid w:val="00A974C6"/>
    <w:rsid w:val="00AA1841"/>
    <w:rsid w:val="00AB4820"/>
    <w:rsid w:val="00AB4C36"/>
    <w:rsid w:val="00B07B8D"/>
    <w:rsid w:val="00BB3B41"/>
    <w:rsid w:val="00BC77BB"/>
    <w:rsid w:val="00BF3212"/>
    <w:rsid w:val="00C04BC5"/>
    <w:rsid w:val="00C26B48"/>
    <w:rsid w:val="00C30879"/>
    <w:rsid w:val="00C63DCF"/>
    <w:rsid w:val="00C720AE"/>
    <w:rsid w:val="00C8667E"/>
    <w:rsid w:val="00C87DD6"/>
    <w:rsid w:val="00CB0E8E"/>
    <w:rsid w:val="00CE226B"/>
    <w:rsid w:val="00CE6A3A"/>
    <w:rsid w:val="00CF611D"/>
    <w:rsid w:val="00D3350D"/>
    <w:rsid w:val="00D370C4"/>
    <w:rsid w:val="00D425E1"/>
    <w:rsid w:val="00D43074"/>
    <w:rsid w:val="00D43185"/>
    <w:rsid w:val="00D80E78"/>
    <w:rsid w:val="00D90388"/>
    <w:rsid w:val="00DB5360"/>
    <w:rsid w:val="00DF0CAC"/>
    <w:rsid w:val="00E06397"/>
    <w:rsid w:val="00E1225D"/>
    <w:rsid w:val="00E45E34"/>
    <w:rsid w:val="00EA1AFB"/>
    <w:rsid w:val="00EB3A0A"/>
    <w:rsid w:val="00F22781"/>
    <w:rsid w:val="00F50D99"/>
    <w:rsid w:val="00F60BBC"/>
    <w:rsid w:val="00F93C0F"/>
    <w:rsid w:val="00FD01FD"/>
    <w:rsid w:val="00FF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ABFE6"/>
  <w15:chartTrackingRefBased/>
  <w15:docId w15:val="{EE260398-BCDF-452F-BE9F-30B93067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D34"/>
  </w:style>
  <w:style w:type="paragraph" w:styleId="Footer">
    <w:name w:val="footer"/>
    <w:basedOn w:val="Normal"/>
    <w:link w:val="FooterChar"/>
    <w:uiPriority w:val="99"/>
    <w:unhideWhenUsed/>
    <w:rsid w:val="00847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D34"/>
  </w:style>
  <w:style w:type="table" w:styleId="TableGrid">
    <w:name w:val="Table Grid"/>
    <w:basedOn w:val="TableNormal"/>
    <w:uiPriority w:val="39"/>
    <w:rsid w:val="00C6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DCF"/>
    <w:pPr>
      <w:spacing w:after="200" w:line="276" w:lineRule="auto"/>
      <w:ind w:left="720"/>
      <w:contextualSpacing/>
    </w:pPr>
    <w:rPr>
      <w:rFonts w:ascii="Arial" w:hAnsi="Arial"/>
      <w:sz w:val="24"/>
    </w:rPr>
  </w:style>
  <w:style w:type="paragraph" w:customStyle="1" w:styleId="bulletundertext">
    <w:name w:val="bullet (under text)"/>
    <w:rsid w:val="00C63DCF"/>
    <w:pPr>
      <w:numPr>
        <w:numId w:val="2"/>
      </w:numPr>
      <w:spacing w:after="240" w:line="288"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2B1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307">
      <w:bodyDiv w:val="1"/>
      <w:marLeft w:val="0"/>
      <w:marRight w:val="0"/>
      <w:marTop w:val="0"/>
      <w:marBottom w:val="0"/>
      <w:divBdr>
        <w:top w:val="none" w:sz="0" w:space="0" w:color="auto"/>
        <w:left w:val="none" w:sz="0" w:space="0" w:color="auto"/>
        <w:bottom w:val="none" w:sz="0" w:space="0" w:color="auto"/>
        <w:right w:val="none" w:sz="0" w:space="0" w:color="auto"/>
      </w:divBdr>
    </w:div>
    <w:div w:id="27947630">
      <w:bodyDiv w:val="1"/>
      <w:marLeft w:val="0"/>
      <w:marRight w:val="0"/>
      <w:marTop w:val="0"/>
      <w:marBottom w:val="0"/>
      <w:divBdr>
        <w:top w:val="none" w:sz="0" w:space="0" w:color="auto"/>
        <w:left w:val="none" w:sz="0" w:space="0" w:color="auto"/>
        <w:bottom w:val="none" w:sz="0" w:space="0" w:color="auto"/>
        <w:right w:val="none" w:sz="0" w:space="0" w:color="auto"/>
      </w:divBdr>
    </w:div>
    <w:div w:id="29499174">
      <w:bodyDiv w:val="1"/>
      <w:marLeft w:val="0"/>
      <w:marRight w:val="0"/>
      <w:marTop w:val="0"/>
      <w:marBottom w:val="0"/>
      <w:divBdr>
        <w:top w:val="none" w:sz="0" w:space="0" w:color="auto"/>
        <w:left w:val="none" w:sz="0" w:space="0" w:color="auto"/>
        <w:bottom w:val="none" w:sz="0" w:space="0" w:color="auto"/>
        <w:right w:val="none" w:sz="0" w:space="0" w:color="auto"/>
      </w:divBdr>
    </w:div>
    <w:div w:id="1229729934">
      <w:bodyDiv w:val="1"/>
      <w:marLeft w:val="0"/>
      <w:marRight w:val="0"/>
      <w:marTop w:val="0"/>
      <w:marBottom w:val="0"/>
      <w:divBdr>
        <w:top w:val="none" w:sz="0" w:space="0" w:color="auto"/>
        <w:left w:val="none" w:sz="0" w:space="0" w:color="auto"/>
        <w:bottom w:val="none" w:sz="0" w:space="0" w:color="auto"/>
        <w:right w:val="none" w:sz="0" w:space="0" w:color="auto"/>
      </w:divBdr>
    </w:div>
    <w:div w:id="1445734225">
      <w:bodyDiv w:val="1"/>
      <w:marLeft w:val="0"/>
      <w:marRight w:val="0"/>
      <w:marTop w:val="0"/>
      <w:marBottom w:val="0"/>
      <w:divBdr>
        <w:top w:val="none" w:sz="0" w:space="0" w:color="auto"/>
        <w:left w:val="none" w:sz="0" w:space="0" w:color="auto"/>
        <w:bottom w:val="none" w:sz="0" w:space="0" w:color="auto"/>
        <w:right w:val="none" w:sz="0" w:space="0" w:color="auto"/>
      </w:divBdr>
    </w:div>
    <w:div w:id="1788234572">
      <w:bodyDiv w:val="1"/>
      <w:marLeft w:val="0"/>
      <w:marRight w:val="0"/>
      <w:marTop w:val="0"/>
      <w:marBottom w:val="0"/>
      <w:divBdr>
        <w:top w:val="none" w:sz="0" w:space="0" w:color="auto"/>
        <w:left w:val="none" w:sz="0" w:space="0" w:color="auto"/>
        <w:bottom w:val="none" w:sz="0" w:space="0" w:color="auto"/>
        <w:right w:val="none" w:sz="0" w:space="0" w:color="auto"/>
      </w:divBdr>
    </w:div>
    <w:div w:id="2065904134">
      <w:bodyDiv w:val="1"/>
      <w:marLeft w:val="0"/>
      <w:marRight w:val="0"/>
      <w:marTop w:val="0"/>
      <w:marBottom w:val="0"/>
      <w:divBdr>
        <w:top w:val="none" w:sz="0" w:space="0" w:color="auto"/>
        <w:left w:val="none" w:sz="0" w:space="0" w:color="auto"/>
        <w:bottom w:val="none" w:sz="0" w:space="0" w:color="auto"/>
        <w:right w:val="none" w:sz="0" w:space="0" w:color="auto"/>
      </w:divBdr>
    </w:div>
    <w:div w:id="20697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gatehouse.co.uk/" TargetMode="External"/><Relationship Id="rId3" Type="http://schemas.openxmlformats.org/officeDocument/2006/relationships/settings" Target="settings.xml"/><Relationship Id="rId7" Type="http://schemas.openxmlformats.org/officeDocument/2006/relationships/hyperlink" Target="https://explorify.wellcom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Lawrence</dc:creator>
  <cp:keywords/>
  <dc:description/>
  <cp:lastModifiedBy>Liz Lawrence</cp:lastModifiedBy>
  <cp:revision>45</cp:revision>
  <dcterms:created xsi:type="dcterms:W3CDTF">2020-05-12T15:07:00Z</dcterms:created>
  <dcterms:modified xsi:type="dcterms:W3CDTF">2020-06-30T08:27:00Z</dcterms:modified>
</cp:coreProperties>
</file>