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D8F1" w14:textId="6B7CCC60" w:rsidR="001D6E6A" w:rsidRDefault="001D6E6A" w:rsidP="00BC1553">
      <w:pPr>
        <w:spacing w:after="0" w:line="240" w:lineRule="auto"/>
        <w:rPr>
          <w:sz w:val="16"/>
          <w:szCs w:val="16"/>
        </w:rPr>
      </w:pPr>
    </w:p>
    <w:p w14:paraId="2DB98034" w14:textId="77777777" w:rsidR="00A90339" w:rsidRPr="00FA6518" w:rsidRDefault="00A90339" w:rsidP="00BC155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1D6E6A" w:rsidRPr="009A7DA6" w14:paraId="1930300C" w14:textId="77777777" w:rsidTr="00267625">
        <w:tc>
          <w:tcPr>
            <w:tcW w:w="5148" w:type="dxa"/>
          </w:tcPr>
          <w:p w14:paraId="38B43EC7" w14:textId="04EDD5AE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5149" w:type="dxa"/>
          </w:tcPr>
          <w:p w14:paraId="75D92039" w14:textId="4060F6B1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5149" w:type="dxa"/>
          </w:tcPr>
          <w:p w14:paraId="25B612EF" w14:textId="4E588D85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Summer</w:t>
            </w:r>
          </w:p>
        </w:tc>
      </w:tr>
      <w:tr w:rsidR="00C7583F" w:rsidRPr="009A7DA6" w14:paraId="58547C74" w14:textId="77777777" w:rsidTr="0089350B">
        <w:tc>
          <w:tcPr>
            <w:tcW w:w="15446" w:type="dxa"/>
            <w:gridSpan w:val="3"/>
          </w:tcPr>
          <w:p w14:paraId="57F7CBDB" w14:textId="1B24AD2B" w:rsidR="00C7583F" w:rsidRPr="009A7DA6" w:rsidRDefault="00C7583F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Year 4</w:t>
            </w:r>
          </w:p>
        </w:tc>
      </w:tr>
      <w:tr w:rsidR="001D6E6A" w:rsidRPr="009A7DA6" w14:paraId="538F75A8" w14:textId="77777777" w:rsidTr="00267625">
        <w:tc>
          <w:tcPr>
            <w:tcW w:w="5148" w:type="dxa"/>
          </w:tcPr>
          <w:p w14:paraId="68B00004" w14:textId="7FF43956" w:rsidR="001D6E6A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Animals - D</w:t>
            </w:r>
            <w:r w:rsidR="001D6E6A" w:rsidRPr="009A7DA6">
              <w:rPr>
                <w:sz w:val="20"/>
                <w:szCs w:val="20"/>
              </w:rPr>
              <w:t>igestive system</w:t>
            </w:r>
          </w:p>
        </w:tc>
        <w:tc>
          <w:tcPr>
            <w:tcW w:w="5149" w:type="dxa"/>
          </w:tcPr>
          <w:p w14:paraId="42FD9A7B" w14:textId="36E05180" w:rsidR="001D6E6A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 xml:space="preserve">Materials - </w:t>
            </w:r>
            <w:r w:rsidR="001D6E6A" w:rsidRPr="009A7DA6">
              <w:rPr>
                <w:sz w:val="20"/>
                <w:szCs w:val="20"/>
              </w:rPr>
              <w:t>Changes of state</w:t>
            </w:r>
          </w:p>
        </w:tc>
        <w:tc>
          <w:tcPr>
            <w:tcW w:w="5149" w:type="dxa"/>
          </w:tcPr>
          <w:p w14:paraId="161C3249" w14:textId="6934381C" w:rsidR="001D6E6A" w:rsidRPr="009A7DA6" w:rsidRDefault="00BC1553" w:rsidP="00FA6518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9A7DA6">
              <w:rPr>
                <w:color w:val="FF0000"/>
                <w:sz w:val="20"/>
                <w:szCs w:val="20"/>
              </w:rPr>
              <w:t>Habitats - C</w:t>
            </w:r>
            <w:r w:rsidR="001D6E6A" w:rsidRPr="009A7DA6">
              <w:rPr>
                <w:color w:val="FF0000"/>
                <w:sz w:val="20"/>
                <w:szCs w:val="20"/>
              </w:rPr>
              <w:t>lassification</w:t>
            </w:r>
            <w:r w:rsidRPr="009A7DA6">
              <w:rPr>
                <w:color w:val="FF0000"/>
                <w:sz w:val="20"/>
                <w:szCs w:val="20"/>
              </w:rPr>
              <w:t xml:space="preserve"> and Animals - </w:t>
            </w:r>
            <w:r w:rsidR="001D6E6A" w:rsidRPr="009A7DA6">
              <w:rPr>
                <w:color w:val="FF0000"/>
                <w:sz w:val="20"/>
                <w:szCs w:val="20"/>
              </w:rPr>
              <w:t>food chains</w:t>
            </w:r>
            <w:r w:rsidR="009A7DA6">
              <w:rPr>
                <w:color w:val="FF0000"/>
                <w:sz w:val="20"/>
                <w:szCs w:val="20"/>
              </w:rPr>
              <w:t xml:space="preserve"> - home</w:t>
            </w:r>
          </w:p>
        </w:tc>
      </w:tr>
      <w:tr w:rsidR="001D6E6A" w:rsidRPr="009A7DA6" w14:paraId="1CFDC287" w14:textId="77777777" w:rsidTr="00267625">
        <w:tc>
          <w:tcPr>
            <w:tcW w:w="5148" w:type="dxa"/>
          </w:tcPr>
          <w:p w14:paraId="15FF4EE7" w14:textId="0B872144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Sound</w:t>
            </w:r>
          </w:p>
        </w:tc>
        <w:tc>
          <w:tcPr>
            <w:tcW w:w="5149" w:type="dxa"/>
          </w:tcPr>
          <w:p w14:paraId="7E82C01E" w14:textId="799F07D1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color w:val="ED7D31" w:themeColor="accent2"/>
                <w:sz w:val="20"/>
                <w:szCs w:val="20"/>
              </w:rPr>
              <w:t>Electricity</w:t>
            </w:r>
            <w:r w:rsidR="009A7DA6">
              <w:rPr>
                <w:color w:val="ED7D31" w:themeColor="accent2"/>
                <w:sz w:val="20"/>
                <w:szCs w:val="20"/>
              </w:rPr>
              <w:t xml:space="preserve"> – part completed</w:t>
            </w:r>
          </w:p>
        </w:tc>
        <w:tc>
          <w:tcPr>
            <w:tcW w:w="5149" w:type="dxa"/>
          </w:tcPr>
          <w:p w14:paraId="791134AF" w14:textId="70CCCA9C" w:rsidR="001D6E6A" w:rsidRPr="009A7DA6" w:rsidRDefault="00BC1553" w:rsidP="00FA6518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9A7DA6">
              <w:rPr>
                <w:color w:val="FF0000"/>
                <w:sz w:val="20"/>
                <w:szCs w:val="20"/>
              </w:rPr>
              <w:t>Habitats - H</w:t>
            </w:r>
            <w:r w:rsidR="001D6E6A" w:rsidRPr="009A7DA6">
              <w:rPr>
                <w:color w:val="FF0000"/>
                <w:sz w:val="20"/>
                <w:szCs w:val="20"/>
              </w:rPr>
              <w:t>uman impact</w:t>
            </w:r>
            <w:r w:rsidR="009A7DA6">
              <w:rPr>
                <w:color w:val="FF0000"/>
                <w:sz w:val="20"/>
                <w:szCs w:val="20"/>
              </w:rPr>
              <w:t xml:space="preserve"> – partly </w:t>
            </w:r>
            <w:r w:rsidR="00CB283D">
              <w:rPr>
                <w:color w:val="FF0000"/>
                <w:sz w:val="20"/>
                <w:szCs w:val="20"/>
              </w:rPr>
              <w:t xml:space="preserve">taught as </w:t>
            </w:r>
            <w:r w:rsidR="009A7DA6">
              <w:rPr>
                <w:color w:val="FF0000"/>
                <w:sz w:val="20"/>
                <w:szCs w:val="20"/>
              </w:rPr>
              <w:t>home learning</w:t>
            </w:r>
          </w:p>
        </w:tc>
      </w:tr>
      <w:tr w:rsidR="00C7583F" w:rsidRPr="009A7DA6" w14:paraId="4EAAAE9C" w14:textId="77777777" w:rsidTr="00D60460">
        <w:trPr>
          <w:trHeight w:val="272"/>
        </w:trPr>
        <w:tc>
          <w:tcPr>
            <w:tcW w:w="15446" w:type="dxa"/>
            <w:gridSpan w:val="3"/>
          </w:tcPr>
          <w:p w14:paraId="5AD8EA8B" w14:textId="73B581D8" w:rsidR="00C7583F" w:rsidRPr="009A7DA6" w:rsidRDefault="00C7583F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Year 5</w:t>
            </w:r>
          </w:p>
        </w:tc>
      </w:tr>
      <w:tr w:rsidR="00BC1553" w:rsidRPr="009A7DA6" w14:paraId="0E054A4B" w14:textId="77777777" w:rsidTr="00267625">
        <w:tc>
          <w:tcPr>
            <w:tcW w:w="5148" w:type="dxa"/>
          </w:tcPr>
          <w:p w14:paraId="57587FF0" w14:textId="383362F8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Earth and space</w:t>
            </w:r>
          </w:p>
        </w:tc>
        <w:tc>
          <w:tcPr>
            <w:tcW w:w="5149" w:type="dxa"/>
          </w:tcPr>
          <w:p w14:paraId="7931118C" w14:textId="5C26FAC7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282063">
              <w:rPr>
                <w:sz w:val="20"/>
                <w:szCs w:val="20"/>
                <w:highlight w:val="yellow"/>
              </w:rPr>
              <w:t>Materials – properties and uses</w:t>
            </w:r>
          </w:p>
        </w:tc>
        <w:tc>
          <w:tcPr>
            <w:tcW w:w="5149" w:type="dxa"/>
          </w:tcPr>
          <w:p w14:paraId="6A7B0F42" w14:textId="0A9D2D69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282063">
              <w:rPr>
                <w:sz w:val="20"/>
                <w:szCs w:val="20"/>
                <w:highlight w:val="yellow"/>
              </w:rPr>
              <w:t>Habitats – life cycles</w:t>
            </w:r>
          </w:p>
        </w:tc>
      </w:tr>
      <w:tr w:rsidR="00BC1553" w:rsidRPr="009A7DA6" w14:paraId="33602EED" w14:textId="77777777" w:rsidTr="00267625">
        <w:tc>
          <w:tcPr>
            <w:tcW w:w="5148" w:type="dxa"/>
          </w:tcPr>
          <w:p w14:paraId="117629A9" w14:textId="006B9151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Forces</w:t>
            </w:r>
          </w:p>
        </w:tc>
        <w:tc>
          <w:tcPr>
            <w:tcW w:w="5149" w:type="dxa"/>
          </w:tcPr>
          <w:p w14:paraId="7D28E892" w14:textId="2750D94A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Materials - changes</w:t>
            </w:r>
          </w:p>
        </w:tc>
        <w:tc>
          <w:tcPr>
            <w:tcW w:w="5149" w:type="dxa"/>
          </w:tcPr>
          <w:p w14:paraId="256F2160" w14:textId="39552B80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Animals – human life cycle (taught with SRE)</w:t>
            </w:r>
          </w:p>
        </w:tc>
      </w:tr>
      <w:tr w:rsidR="00C7583F" w:rsidRPr="009A7DA6" w14:paraId="5C3AAE7A" w14:textId="77777777" w:rsidTr="00AE1B43">
        <w:tc>
          <w:tcPr>
            <w:tcW w:w="15446" w:type="dxa"/>
            <w:gridSpan w:val="3"/>
          </w:tcPr>
          <w:p w14:paraId="04BCDB6E" w14:textId="1D6466EA" w:rsidR="00C7583F" w:rsidRPr="009A7DA6" w:rsidRDefault="00C7583F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8315B9" w:rsidRPr="009A7DA6" w14:paraId="1C084FC2" w14:textId="77777777" w:rsidTr="008315B9">
        <w:tc>
          <w:tcPr>
            <w:tcW w:w="5148" w:type="dxa"/>
          </w:tcPr>
          <w:p w14:paraId="1115A68B" w14:textId="0B41EBB0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Animals – circulatory system and health (with PSHE)</w:t>
            </w:r>
          </w:p>
        </w:tc>
        <w:tc>
          <w:tcPr>
            <w:tcW w:w="5149" w:type="dxa"/>
          </w:tcPr>
          <w:p w14:paraId="06A2D7C6" w14:textId="485A4C7B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5149" w:type="dxa"/>
            <w:vMerge w:val="restart"/>
            <w:vAlign w:val="center"/>
          </w:tcPr>
          <w:p w14:paraId="303C8007" w14:textId="307E2FFF" w:rsidR="008315B9" w:rsidRPr="009A7DA6" w:rsidRDefault="008315B9" w:rsidP="008315B9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Habitats - classification</w:t>
            </w:r>
          </w:p>
        </w:tc>
      </w:tr>
      <w:tr w:rsidR="008315B9" w:rsidRPr="009A7DA6" w14:paraId="0F6D4AF5" w14:textId="77777777" w:rsidTr="00267625">
        <w:tc>
          <w:tcPr>
            <w:tcW w:w="5148" w:type="dxa"/>
          </w:tcPr>
          <w:p w14:paraId="5243F92B" w14:textId="594FFDED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Light</w:t>
            </w:r>
          </w:p>
        </w:tc>
        <w:tc>
          <w:tcPr>
            <w:tcW w:w="5149" w:type="dxa"/>
          </w:tcPr>
          <w:p w14:paraId="14BAD2AC" w14:textId="4FDDC99B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  <w:r w:rsidRPr="00282063">
              <w:rPr>
                <w:sz w:val="20"/>
                <w:szCs w:val="20"/>
                <w:highlight w:val="yellow"/>
              </w:rPr>
              <w:t>Electricity</w:t>
            </w:r>
          </w:p>
        </w:tc>
        <w:tc>
          <w:tcPr>
            <w:tcW w:w="5149" w:type="dxa"/>
            <w:vMerge/>
          </w:tcPr>
          <w:p w14:paraId="5E30C11C" w14:textId="41FA0AD4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0C7B4686" w14:textId="40781226" w:rsidR="001D6E6A" w:rsidRDefault="001D6E6A" w:rsidP="001C1067">
      <w:pPr>
        <w:spacing w:after="0" w:line="240" w:lineRule="auto"/>
        <w:rPr>
          <w:sz w:val="20"/>
          <w:szCs w:val="20"/>
        </w:rPr>
      </w:pPr>
    </w:p>
    <w:p w14:paraId="595D0BAD" w14:textId="77777777" w:rsidR="00A90339" w:rsidRPr="009A7DA6" w:rsidRDefault="00A90339" w:rsidP="001C106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1D6E6A" w:rsidRPr="009A7DA6" w14:paraId="7810557C" w14:textId="77777777" w:rsidTr="00C7583F">
        <w:tc>
          <w:tcPr>
            <w:tcW w:w="2972" w:type="dxa"/>
          </w:tcPr>
          <w:p w14:paraId="3E41056C" w14:textId="382A376E" w:rsidR="001D6E6A" w:rsidRPr="009A7DA6" w:rsidRDefault="00697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Missed / at risk </w:t>
            </w:r>
            <w:r w:rsidR="001D6E6A" w:rsidRPr="009A7DA6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  <w:r w:rsidR="00C7583F"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from Y4</w:t>
            </w:r>
          </w:p>
        </w:tc>
        <w:tc>
          <w:tcPr>
            <w:tcW w:w="2693" w:type="dxa"/>
          </w:tcPr>
          <w:p w14:paraId="5F79D55A" w14:textId="55BF872D" w:rsidR="001D6E6A" w:rsidRPr="009A7DA6" w:rsidRDefault="00697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694" w:type="dxa"/>
          </w:tcPr>
          <w:p w14:paraId="5FFAC4B8" w14:textId="3CCBA75A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Year 5 action</w:t>
            </w:r>
          </w:p>
        </w:tc>
        <w:tc>
          <w:tcPr>
            <w:tcW w:w="1938" w:type="dxa"/>
          </w:tcPr>
          <w:p w14:paraId="3259BDAE" w14:textId="3539A30D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  <w:tc>
          <w:tcPr>
            <w:tcW w:w="3023" w:type="dxa"/>
          </w:tcPr>
          <w:p w14:paraId="37CE9933" w14:textId="412AB9DA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AD77B7">
              <w:rPr>
                <w:rFonts w:cstheme="minorHAnsi"/>
                <w:b/>
                <w:bCs/>
                <w:sz w:val="20"/>
                <w:szCs w:val="20"/>
              </w:rPr>
              <w:t xml:space="preserve">ear 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>6 action</w:t>
            </w:r>
          </w:p>
        </w:tc>
        <w:tc>
          <w:tcPr>
            <w:tcW w:w="2126" w:type="dxa"/>
          </w:tcPr>
          <w:p w14:paraId="0BD7FCF7" w14:textId="5E573014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</w:tr>
      <w:tr w:rsidR="005B21F2" w:rsidRPr="009A7DA6" w14:paraId="3B28D8C4" w14:textId="77777777" w:rsidTr="00004A32">
        <w:tc>
          <w:tcPr>
            <w:tcW w:w="15446" w:type="dxa"/>
            <w:gridSpan w:val="6"/>
          </w:tcPr>
          <w:p w14:paraId="0677C0B7" w14:textId="13BBC582" w:rsidR="005B21F2" w:rsidRPr="009A7DA6" w:rsidRDefault="005B21F2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Electricity</w:t>
            </w:r>
          </w:p>
        </w:tc>
      </w:tr>
      <w:tr w:rsidR="00777656" w:rsidRPr="009A7DA6" w14:paraId="7520825D" w14:textId="77777777" w:rsidTr="00777656">
        <w:trPr>
          <w:trHeight w:val="490"/>
        </w:trPr>
        <w:tc>
          <w:tcPr>
            <w:tcW w:w="2972" w:type="dxa"/>
            <w:vMerge w:val="restart"/>
          </w:tcPr>
          <w:p w14:paraId="404055C1" w14:textId="2344F08F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recognise some common conductors and insulators, and associate metals with being good conductors</w:t>
            </w:r>
          </w:p>
        </w:tc>
        <w:tc>
          <w:tcPr>
            <w:tcW w:w="2693" w:type="dxa"/>
            <w:vMerge w:val="restart"/>
          </w:tcPr>
          <w:p w14:paraId="7F26A1EE" w14:textId="768BD3AA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 xml:space="preserve">Not able to cover as home learning. Also missed application of this to making own switches </w:t>
            </w:r>
          </w:p>
        </w:tc>
        <w:tc>
          <w:tcPr>
            <w:tcW w:w="2694" w:type="dxa"/>
            <w:vMerge w:val="restart"/>
          </w:tcPr>
          <w:p w14:paraId="081F18FB" w14:textId="51C81AE4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When teaching Y5 materials be aware children will not be familiar with electrical conductivity – do not include</w:t>
            </w:r>
          </w:p>
        </w:tc>
        <w:tc>
          <w:tcPr>
            <w:tcW w:w="1938" w:type="dxa"/>
            <w:vMerge w:val="restart"/>
          </w:tcPr>
          <w:p w14:paraId="2C0E0FDB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4E6677E0" w14:textId="18E64B0F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>clude</w:t>
            </w:r>
            <w:r w:rsidRPr="009A7DA6">
              <w:rPr>
                <w:rFonts w:cstheme="minorHAnsi"/>
                <w:sz w:val="20"/>
                <w:szCs w:val="20"/>
              </w:rPr>
              <w:t xml:space="preserve"> conductors and insulators in electricity unit. </w:t>
            </w:r>
          </w:p>
          <w:p w14:paraId="328300A7" w14:textId="03848FD6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Make switches in electricity unit or in D&amp;T control unit (Summer 2)</w:t>
            </w:r>
          </w:p>
        </w:tc>
        <w:tc>
          <w:tcPr>
            <w:tcW w:w="2126" w:type="dxa"/>
            <w:vMerge w:val="restart"/>
          </w:tcPr>
          <w:p w14:paraId="66BCD411" w14:textId="08D3EDC1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E72542">
              <w:rPr>
                <w:rFonts w:cstheme="minorHAnsi"/>
                <w:i/>
                <w:iCs/>
                <w:sz w:val="20"/>
                <w:szCs w:val="20"/>
              </w:rPr>
              <w:t>Problem solving – what could we use if we have no wires, and why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777656" w:rsidRPr="009A7DA6" w14:paraId="4B797A70" w14:textId="77777777" w:rsidTr="00C7583F">
        <w:trPr>
          <w:trHeight w:val="490"/>
        </w:trPr>
        <w:tc>
          <w:tcPr>
            <w:tcW w:w="2972" w:type="dxa"/>
            <w:vMerge/>
          </w:tcPr>
          <w:p w14:paraId="6676EA03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FC699A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06C2418" w14:textId="2A154EEF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0FB17CF8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0DF4720F" w14:textId="77777777" w:rsidR="00777656" w:rsidRPr="00E62C90" w:rsidRDefault="0077765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2713FE2D" w14:textId="79A8AA1E" w:rsidR="00777656" w:rsidRPr="009A7DA6" w:rsidRDefault="00277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TAPS focussed assessment: Does it conduct electricity</w:t>
            </w:r>
            <w:r w:rsidR="00450C87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?</w:t>
            </w:r>
          </w:p>
        </w:tc>
        <w:tc>
          <w:tcPr>
            <w:tcW w:w="2126" w:type="dxa"/>
            <w:vMerge/>
          </w:tcPr>
          <w:p w14:paraId="450AD425" w14:textId="77777777" w:rsidR="00777656" w:rsidRDefault="007776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1F2" w:rsidRPr="009A7DA6" w14:paraId="6B4062CD" w14:textId="77777777" w:rsidTr="00143847">
        <w:tc>
          <w:tcPr>
            <w:tcW w:w="15446" w:type="dxa"/>
            <w:gridSpan w:val="6"/>
          </w:tcPr>
          <w:p w14:paraId="1F967CD9" w14:textId="3C7C20F4" w:rsidR="005B21F2" w:rsidRPr="009A7DA6" w:rsidRDefault="005B21F2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Animals including humans</w:t>
            </w:r>
          </w:p>
        </w:tc>
      </w:tr>
      <w:tr w:rsidR="00777656" w:rsidRPr="009A7DA6" w14:paraId="6A4503EE" w14:textId="77777777" w:rsidTr="00777656">
        <w:trPr>
          <w:trHeight w:val="375"/>
        </w:trPr>
        <w:tc>
          <w:tcPr>
            <w:tcW w:w="2972" w:type="dxa"/>
            <w:vMerge w:val="restart"/>
          </w:tcPr>
          <w:p w14:paraId="4E517C41" w14:textId="5B87AEB2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 xml:space="preserve">construct and interpret a variety of food chains, identifying producers, </w:t>
            </w:r>
            <w:proofErr w:type="gramStart"/>
            <w:r w:rsidRPr="009A7DA6">
              <w:rPr>
                <w:rFonts w:cstheme="minorHAnsi"/>
                <w:sz w:val="20"/>
                <w:szCs w:val="20"/>
              </w:rPr>
              <w:t>predators</w:t>
            </w:r>
            <w:proofErr w:type="gramEnd"/>
            <w:r w:rsidRPr="009A7DA6">
              <w:rPr>
                <w:rFonts w:cstheme="minorHAnsi"/>
                <w:sz w:val="20"/>
                <w:szCs w:val="20"/>
              </w:rPr>
              <w:t xml:space="preserve"> and prey.</w:t>
            </w:r>
          </w:p>
        </w:tc>
        <w:tc>
          <w:tcPr>
            <w:tcW w:w="2693" w:type="dxa"/>
            <w:vMerge w:val="restart"/>
          </w:tcPr>
          <w:p w14:paraId="2718AAF2" w14:textId="5DB823C3" w:rsidR="009A7EDE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 xml:space="preserve">Taught as home learning. </w:t>
            </w:r>
          </w:p>
        </w:tc>
        <w:tc>
          <w:tcPr>
            <w:tcW w:w="2694" w:type="dxa"/>
          </w:tcPr>
          <w:p w14:paraId="7862DDE0" w14:textId="13BD45C5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Revisit and consolidate by extending habitats unit</w:t>
            </w:r>
          </w:p>
        </w:tc>
        <w:tc>
          <w:tcPr>
            <w:tcW w:w="1938" w:type="dxa"/>
            <w:vMerge w:val="restart"/>
          </w:tcPr>
          <w:p w14:paraId="03E6E406" w14:textId="66289F51" w:rsidR="00777656" w:rsidRPr="00E72542" w:rsidRDefault="00777656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E72542">
              <w:rPr>
                <w:rFonts w:cstheme="minorHAnsi"/>
                <w:i/>
                <w:iCs/>
                <w:sz w:val="20"/>
                <w:szCs w:val="20"/>
              </w:rPr>
              <w:t>Explorify</w:t>
            </w:r>
            <w:proofErr w:type="spellEnd"/>
            <w:r w:rsidRPr="00E72542">
              <w:rPr>
                <w:rFonts w:cstheme="minorHAnsi"/>
                <w:i/>
                <w:iCs/>
                <w:sz w:val="20"/>
                <w:szCs w:val="20"/>
              </w:rPr>
              <w:t xml:space="preserve"> – Family meal (Video)</w:t>
            </w:r>
          </w:p>
        </w:tc>
        <w:tc>
          <w:tcPr>
            <w:tcW w:w="3023" w:type="dxa"/>
            <w:vMerge w:val="restart"/>
          </w:tcPr>
          <w:p w14:paraId="4BC66138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48C6D2D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56" w:rsidRPr="009A7DA6" w14:paraId="7DB3C61A" w14:textId="77777777" w:rsidTr="009A7DA6">
        <w:trPr>
          <w:trHeight w:val="375"/>
        </w:trPr>
        <w:tc>
          <w:tcPr>
            <w:tcW w:w="2972" w:type="dxa"/>
            <w:vMerge/>
          </w:tcPr>
          <w:p w14:paraId="51457A8C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7B1F81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7ADC3E" w14:textId="6DBF765B" w:rsidR="00777656" w:rsidRPr="00E62C90" w:rsidRDefault="0077765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652C7CFD" w14:textId="20EF628A" w:rsidR="00777656" w:rsidRPr="00E62C90" w:rsidRDefault="0077765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Research feeding relationships in a habitat (different one from home learning</w:t>
            </w:r>
            <w:r w:rsidR="00050B73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 xml:space="preserve"> – literacy link</w:t>
            </w:r>
            <w:r w:rsidRPr="00E62C9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)</w:t>
            </w:r>
            <w:r w:rsidR="009A7EDE" w:rsidRPr="00E62C9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 xml:space="preserve"> and draw food chains.</w:t>
            </w:r>
          </w:p>
          <w:p w14:paraId="1B747F1E" w14:textId="1D159ED4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5F3D6110" w14:textId="77777777" w:rsidR="0077765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  <w:vMerge/>
          </w:tcPr>
          <w:p w14:paraId="50C1815F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8CFC32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EA5EE3" w14:textId="4346E07D" w:rsidR="00A90339" w:rsidRDefault="00A90339">
      <w:r>
        <w:br w:type="page"/>
      </w:r>
    </w:p>
    <w:p w14:paraId="111EF3D4" w14:textId="77777777" w:rsidR="00A90339" w:rsidRDefault="00A9033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5B21F2" w:rsidRPr="009A7DA6" w14:paraId="61179BE0" w14:textId="77777777" w:rsidTr="00E45135">
        <w:tc>
          <w:tcPr>
            <w:tcW w:w="15446" w:type="dxa"/>
            <w:gridSpan w:val="6"/>
          </w:tcPr>
          <w:p w14:paraId="7A81D00E" w14:textId="1DF36806" w:rsidR="005B21F2" w:rsidRPr="009A7DA6" w:rsidRDefault="005B21F2" w:rsidP="00FA6518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Living things in their habitats</w:t>
            </w:r>
          </w:p>
        </w:tc>
      </w:tr>
      <w:tr w:rsidR="00777656" w:rsidRPr="009A7DA6" w14:paraId="681C5792" w14:textId="77777777" w:rsidTr="00E80B6D">
        <w:tc>
          <w:tcPr>
            <w:tcW w:w="2972" w:type="dxa"/>
          </w:tcPr>
          <w:p w14:paraId="201B47BD" w14:textId="09FA1507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color w:val="000000" w:themeColor="text1"/>
                <w:sz w:val="20"/>
                <w:szCs w:val="20"/>
              </w:rPr>
              <w:t xml:space="preserve">recognise that living things can be grouped in a variety of ways </w:t>
            </w:r>
          </w:p>
        </w:tc>
        <w:tc>
          <w:tcPr>
            <w:tcW w:w="2693" w:type="dxa"/>
            <w:vMerge w:val="restart"/>
            <w:vAlign w:val="center"/>
          </w:tcPr>
          <w:p w14:paraId="519BDB7A" w14:textId="4DE003B5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Taught as home learning</w:t>
            </w:r>
          </w:p>
        </w:tc>
        <w:tc>
          <w:tcPr>
            <w:tcW w:w="2694" w:type="dxa"/>
          </w:tcPr>
          <w:p w14:paraId="633FAB8A" w14:textId="25911C40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Revisit and consolidate practically by extending habitats unit</w:t>
            </w:r>
          </w:p>
        </w:tc>
        <w:tc>
          <w:tcPr>
            <w:tcW w:w="1938" w:type="dxa"/>
            <w:vAlign w:val="center"/>
          </w:tcPr>
          <w:p w14:paraId="1CA4AD45" w14:textId="37944674" w:rsidR="00777656" w:rsidRPr="00E72542" w:rsidRDefault="00777656" w:rsidP="00E80B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72542">
              <w:rPr>
                <w:rFonts w:cstheme="minorHAnsi"/>
                <w:i/>
                <w:iCs/>
                <w:sz w:val="20"/>
                <w:szCs w:val="20"/>
              </w:rPr>
              <w:t>Sorting activities – own and then given criteria</w:t>
            </w:r>
          </w:p>
        </w:tc>
        <w:tc>
          <w:tcPr>
            <w:tcW w:w="3023" w:type="dxa"/>
            <w:vAlign w:val="center"/>
          </w:tcPr>
          <w:p w14:paraId="7497E543" w14:textId="77777777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433A33" w14:textId="77777777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56" w:rsidRPr="009A7DA6" w14:paraId="040D3FB0" w14:textId="77777777" w:rsidTr="00E80B6D">
        <w:tc>
          <w:tcPr>
            <w:tcW w:w="2972" w:type="dxa"/>
          </w:tcPr>
          <w:p w14:paraId="225859DB" w14:textId="5A057686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color w:val="000000" w:themeColor="text1"/>
                <w:sz w:val="20"/>
                <w:szCs w:val="20"/>
              </w:rPr>
              <w:t>explore and use classification keys to help group, identify and name a variety of living things in their local and wider environment</w:t>
            </w:r>
            <w:r w:rsidRPr="009A7D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14:paraId="327BDA8F" w14:textId="56FC6236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C794EE" w14:textId="77777777" w:rsidR="00777656" w:rsidRPr="00E62C90" w:rsidRDefault="00777656" w:rsidP="00E80B6D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547C7C09" w14:textId="0D9B3CF4" w:rsidR="009A7EDE" w:rsidRPr="009A7EDE" w:rsidRDefault="009A7EDE" w:rsidP="00E80B6D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E62C9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Sorting and classifying living things</w:t>
            </w:r>
          </w:p>
        </w:tc>
        <w:tc>
          <w:tcPr>
            <w:tcW w:w="1938" w:type="dxa"/>
            <w:vAlign w:val="center"/>
          </w:tcPr>
          <w:p w14:paraId="46AF482D" w14:textId="4E5FAD5A" w:rsidR="00777656" w:rsidRPr="00E72542" w:rsidRDefault="00777656" w:rsidP="00E80B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72542">
              <w:rPr>
                <w:rFonts w:cstheme="minorHAnsi"/>
                <w:i/>
                <w:iCs/>
                <w:sz w:val="20"/>
                <w:szCs w:val="20"/>
              </w:rPr>
              <w:t>Use pictures and keys to identify and classify of South American animals (geography topic)</w:t>
            </w:r>
          </w:p>
        </w:tc>
        <w:tc>
          <w:tcPr>
            <w:tcW w:w="3023" w:type="dxa"/>
            <w:vAlign w:val="center"/>
          </w:tcPr>
          <w:p w14:paraId="4D70B732" w14:textId="77777777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30D2A0" w14:textId="77777777" w:rsidR="00777656" w:rsidRPr="009A7DA6" w:rsidRDefault="00777656" w:rsidP="00E80B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4EF3" w:rsidRPr="009A7DA6" w14:paraId="32659338" w14:textId="77777777" w:rsidTr="00E80B6D">
        <w:trPr>
          <w:trHeight w:val="490"/>
        </w:trPr>
        <w:tc>
          <w:tcPr>
            <w:tcW w:w="2972" w:type="dxa"/>
            <w:vMerge w:val="restart"/>
          </w:tcPr>
          <w:p w14:paraId="0B50E449" w14:textId="1EA0C960" w:rsidR="00524EF3" w:rsidRPr="009A7DA6" w:rsidRDefault="00524EF3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recognise that environments can change and that this can sometimes pose dangers to living things</w:t>
            </w:r>
          </w:p>
        </w:tc>
        <w:tc>
          <w:tcPr>
            <w:tcW w:w="2693" w:type="dxa"/>
            <w:vMerge w:val="restart"/>
          </w:tcPr>
          <w:p w14:paraId="3952717A" w14:textId="46FF970A" w:rsidR="00524EF3" w:rsidRPr="009A7DA6" w:rsidRDefault="00524EF3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Not taught</w:t>
            </w:r>
          </w:p>
        </w:tc>
        <w:tc>
          <w:tcPr>
            <w:tcW w:w="2694" w:type="dxa"/>
          </w:tcPr>
          <w:p w14:paraId="2AD82E90" w14:textId="0228FCE9" w:rsidR="00524EF3" w:rsidRPr="009A7DA6" w:rsidRDefault="00524EF3" w:rsidP="00E80B6D">
            <w:pPr>
              <w:rPr>
                <w:rFonts w:cstheme="minorHAnsi"/>
                <w:sz w:val="20"/>
                <w:szCs w:val="20"/>
              </w:rPr>
            </w:pPr>
            <w:r w:rsidRPr="009A7DA6">
              <w:rPr>
                <w:rFonts w:cstheme="minorHAnsi"/>
                <w:sz w:val="20"/>
                <w:szCs w:val="20"/>
              </w:rPr>
              <w:t>Include in habitats unit</w:t>
            </w:r>
          </w:p>
        </w:tc>
        <w:tc>
          <w:tcPr>
            <w:tcW w:w="1938" w:type="dxa"/>
            <w:vMerge w:val="restart"/>
          </w:tcPr>
          <w:p w14:paraId="427F0A9A" w14:textId="3617D1B7" w:rsidR="00524EF3" w:rsidRPr="00E72542" w:rsidRDefault="00524EF3" w:rsidP="00E80B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72542">
              <w:rPr>
                <w:rFonts w:cstheme="minorHAnsi"/>
                <w:i/>
                <w:iCs/>
                <w:sz w:val="20"/>
                <w:szCs w:val="20"/>
              </w:rPr>
              <w:t>Concept Cartoon – Plants and animals (2.3)</w:t>
            </w:r>
          </w:p>
        </w:tc>
        <w:tc>
          <w:tcPr>
            <w:tcW w:w="3023" w:type="dxa"/>
            <w:vMerge w:val="restart"/>
            <w:vAlign w:val="center"/>
          </w:tcPr>
          <w:p w14:paraId="1EC689F1" w14:textId="4FC2E070" w:rsidR="00524EF3" w:rsidRPr="009A7DA6" w:rsidRDefault="00524EF3" w:rsidP="00E80B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A6ADC7" w14:textId="4E1FD414" w:rsidR="00524EF3" w:rsidRPr="009A7DA6" w:rsidRDefault="00524EF3" w:rsidP="00E80B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4EF3" w:rsidRPr="009A7DA6" w14:paraId="37A07D9A" w14:textId="77777777" w:rsidTr="00E80B6D">
        <w:trPr>
          <w:trHeight w:val="490"/>
        </w:trPr>
        <w:tc>
          <w:tcPr>
            <w:tcW w:w="2972" w:type="dxa"/>
            <w:vMerge/>
          </w:tcPr>
          <w:p w14:paraId="0BFABDA1" w14:textId="77777777" w:rsidR="00524EF3" w:rsidRPr="009A7DA6" w:rsidRDefault="00524EF3" w:rsidP="009000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4978D8" w14:textId="77777777" w:rsidR="00524EF3" w:rsidRPr="009A7DA6" w:rsidRDefault="00524EF3" w:rsidP="009000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0AC0B8" w14:textId="77777777" w:rsidR="00524EF3" w:rsidRPr="00E62C90" w:rsidRDefault="00524EF3" w:rsidP="00524EF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76ADC883" w14:textId="4E90051F" w:rsidR="00524EF3" w:rsidRPr="009A7EDE" w:rsidRDefault="00524EF3" w:rsidP="00524EF3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E62C9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 xml:space="preserve">Litter </w:t>
            </w:r>
            <w: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survey</w:t>
            </w:r>
          </w:p>
        </w:tc>
        <w:tc>
          <w:tcPr>
            <w:tcW w:w="1938" w:type="dxa"/>
            <w:vMerge/>
          </w:tcPr>
          <w:p w14:paraId="03F245D3" w14:textId="77777777" w:rsidR="00524EF3" w:rsidRDefault="00524EF3" w:rsidP="009000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  <w:vMerge/>
          </w:tcPr>
          <w:p w14:paraId="006D696D" w14:textId="0769DB32" w:rsidR="00524EF3" w:rsidRPr="009A7DA6" w:rsidRDefault="00524EF3" w:rsidP="007C46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0722FCD" w14:textId="77777777" w:rsidR="00524EF3" w:rsidRPr="009A7DA6" w:rsidRDefault="00524EF3" w:rsidP="009000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0137BB" w14:textId="77777777" w:rsidR="00E72542" w:rsidRDefault="00E72542" w:rsidP="00E80B6D">
      <w:pPr>
        <w:spacing w:before="120" w:after="40"/>
        <w:rPr>
          <w:i/>
          <w:iCs/>
          <w:sz w:val="18"/>
          <w:szCs w:val="18"/>
        </w:rPr>
      </w:pPr>
      <w:r w:rsidRPr="00E62C90">
        <w:rPr>
          <w:i/>
          <w:iCs/>
          <w:sz w:val="18"/>
          <w:szCs w:val="18"/>
        </w:rPr>
        <w:t>*Enquiry in the primary curriculum is fundamental to how children make sense of the world around them and acquire the understanding of the key concepts. Italics are used to indicate</w:t>
      </w:r>
      <w:r>
        <w:rPr>
          <w:i/>
          <w:iCs/>
          <w:sz w:val="18"/>
          <w:szCs w:val="18"/>
        </w:rPr>
        <w:t xml:space="preserve"> that these are </w:t>
      </w:r>
      <w:r w:rsidRPr="00E62C90">
        <w:rPr>
          <w:i/>
          <w:iCs/>
          <w:sz w:val="18"/>
          <w:szCs w:val="18"/>
        </w:rPr>
        <w:t>examples</w:t>
      </w:r>
      <w:r>
        <w:rPr>
          <w:i/>
          <w:iCs/>
          <w:sz w:val="18"/>
          <w:szCs w:val="18"/>
        </w:rPr>
        <w:t xml:space="preserve"> and not compulsory activity.</w:t>
      </w:r>
      <w:r w:rsidRPr="00E62C9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 w:rsidRPr="00E62C90">
        <w:rPr>
          <w:i/>
          <w:iCs/>
          <w:sz w:val="18"/>
          <w:szCs w:val="18"/>
        </w:rPr>
        <w:t>ach school select</w:t>
      </w:r>
      <w:r>
        <w:rPr>
          <w:i/>
          <w:iCs/>
          <w:sz w:val="18"/>
          <w:szCs w:val="18"/>
        </w:rPr>
        <w:t>s</w:t>
      </w:r>
      <w:r w:rsidRPr="00E62C9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the</w:t>
      </w:r>
      <w:r w:rsidRPr="00E62C90">
        <w:rPr>
          <w:i/>
          <w:iCs/>
          <w:sz w:val="18"/>
          <w:szCs w:val="18"/>
        </w:rPr>
        <w:t xml:space="preserve"> enquiry approach and question </w:t>
      </w:r>
      <w:r>
        <w:rPr>
          <w:i/>
          <w:iCs/>
          <w:sz w:val="18"/>
          <w:szCs w:val="18"/>
        </w:rPr>
        <w:t xml:space="preserve">that </w:t>
      </w:r>
      <w:r w:rsidRPr="00E62C90">
        <w:rPr>
          <w:i/>
          <w:iCs/>
          <w:sz w:val="18"/>
          <w:szCs w:val="18"/>
        </w:rPr>
        <w:t xml:space="preserve">is right for their </w:t>
      </w:r>
      <w:r>
        <w:rPr>
          <w:i/>
          <w:iCs/>
          <w:sz w:val="18"/>
          <w:szCs w:val="18"/>
        </w:rPr>
        <w:t>setting</w:t>
      </w:r>
      <w:r w:rsidRPr="00E62C90">
        <w:rPr>
          <w:i/>
          <w:iCs/>
          <w:sz w:val="18"/>
          <w:szCs w:val="18"/>
        </w:rPr>
        <w:t xml:space="preserve">. Further typical </w:t>
      </w:r>
      <w:r>
        <w:rPr>
          <w:i/>
          <w:iCs/>
          <w:sz w:val="18"/>
          <w:szCs w:val="18"/>
        </w:rPr>
        <w:t xml:space="preserve">enquiry </w:t>
      </w:r>
      <w:r w:rsidRPr="00E62C90">
        <w:rPr>
          <w:i/>
          <w:iCs/>
          <w:sz w:val="18"/>
          <w:szCs w:val="18"/>
        </w:rPr>
        <w:t>examples can be found in the non</w:t>
      </w:r>
      <w:r>
        <w:rPr>
          <w:i/>
          <w:iCs/>
          <w:sz w:val="18"/>
          <w:szCs w:val="18"/>
        </w:rPr>
        <w:t>-</w:t>
      </w:r>
      <w:r w:rsidRPr="00E62C90">
        <w:rPr>
          <w:i/>
          <w:iCs/>
          <w:sz w:val="18"/>
          <w:szCs w:val="18"/>
        </w:rPr>
        <w:t>statutory guidance of the NC.</w:t>
      </w:r>
    </w:p>
    <w:p w14:paraId="30755D91" w14:textId="1062B047" w:rsidR="00A56950" w:rsidRPr="00E62C90" w:rsidRDefault="00E7254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The initial assessment activities are also examples, chosen from the s</w:t>
      </w:r>
      <w:r w:rsidR="001050C4">
        <w:rPr>
          <w:i/>
          <w:iCs/>
          <w:sz w:val="18"/>
          <w:szCs w:val="18"/>
        </w:rPr>
        <w:t>uggestions</w:t>
      </w:r>
      <w:r>
        <w:rPr>
          <w:i/>
          <w:iCs/>
          <w:sz w:val="18"/>
          <w:szCs w:val="18"/>
        </w:rPr>
        <w:t xml:space="preserve"> included on the information and guidance document. </w:t>
      </w:r>
      <w:r w:rsidR="001050C4">
        <w:rPr>
          <w:i/>
          <w:iCs/>
          <w:sz w:val="18"/>
          <w:szCs w:val="18"/>
        </w:rPr>
        <w:t>Those suggestions</w:t>
      </w:r>
      <w:r>
        <w:rPr>
          <w:i/>
          <w:iCs/>
          <w:sz w:val="18"/>
          <w:szCs w:val="18"/>
        </w:rPr>
        <w:t xml:space="preserve"> only includ</w:t>
      </w:r>
      <w:r w:rsidR="001050C4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some of the many possible ways of establishing starting points. Each school selects elicitation strategies that are right for their setting.</w:t>
      </w:r>
    </w:p>
    <w:sectPr w:rsidR="00A56950" w:rsidRPr="00E62C90" w:rsidSect="001D6E6A">
      <w:headerReference w:type="default" r:id="rId6"/>
      <w:foot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02D5" w14:textId="77777777" w:rsidR="00C54E95" w:rsidRDefault="00C54E95" w:rsidP="001D6E6A">
      <w:pPr>
        <w:spacing w:after="0" w:line="240" w:lineRule="auto"/>
      </w:pPr>
      <w:r>
        <w:separator/>
      </w:r>
    </w:p>
  </w:endnote>
  <w:endnote w:type="continuationSeparator" w:id="0">
    <w:p w14:paraId="5D7B9B49" w14:textId="77777777" w:rsidR="00C54E95" w:rsidRDefault="00C54E95" w:rsidP="001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D038" w14:textId="599DC313" w:rsidR="00A56950" w:rsidRDefault="00A56950">
    <w:pPr>
      <w:pStyle w:val="Footer"/>
    </w:pPr>
    <w:r w:rsidRPr="00A56950">
      <w:rPr>
        <w:noProof/>
      </w:rPr>
      <w:drawing>
        <wp:inline distT="0" distB="0" distL="0" distR="0" wp14:anchorId="2AD5386A" wp14:editId="616053F6">
          <wp:extent cx="1629069" cy="444500"/>
          <wp:effectExtent l="0" t="0" r="9525" b="0"/>
          <wp:docPr id="5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51" cy="47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78E2">
      <w:tab/>
    </w:r>
    <w:r w:rsidR="00FE78E2">
      <w:tab/>
    </w:r>
    <w:r w:rsidR="00FE78E2">
      <w:tab/>
    </w:r>
    <w:r w:rsidR="00FE78E2">
      <w:tab/>
    </w:r>
    <w:r w:rsidR="00FE78E2">
      <w:tab/>
    </w:r>
    <w:r w:rsidR="00FE78E2">
      <w:tab/>
    </w:r>
    <w:r w:rsidR="00FE78E2">
      <w:tab/>
    </w:r>
    <w:r w:rsidR="00FE78E2">
      <w:tab/>
    </w:r>
    <w:r w:rsidR="00FE78E2">
      <w:tab/>
    </w:r>
    <w:r w:rsidR="00FE78E2">
      <w:rPr>
        <w:noProof/>
      </w:rPr>
      <w:drawing>
        <wp:inline distT="0" distB="0" distL="0" distR="0" wp14:anchorId="37E1C384" wp14:editId="0343C308">
          <wp:extent cx="82296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C6E2" w14:textId="77777777" w:rsidR="00C54E95" w:rsidRDefault="00C54E95" w:rsidP="001D6E6A">
      <w:pPr>
        <w:spacing w:after="0" w:line="240" w:lineRule="auto"/>
      </w:pPr>
      <w:r>
        <w:separator/>
      </w:r>
    </w:p>
  </w:footnote>
  <w:footnote w:type="continuationSeparator" w:id="0">
    <w:p w14:paraId="4956D3FF" w14:textId="77777777" w:rsidR="00C54E95" w:rsidRDefault="00C54E95" w:rsidP="001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F79B" w14:textId="79FD209B" w:rsidR="001D6E6A" w:rsidRDefault="00C54E95">
    <w:pPr>
      <w:pStyle w:val="Header"/>
    </w:pPr>
    <w:sdt>
      <w:sdtPr>
        <w:id w:val="18703432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DCB8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6393955" o:spid="_x0000_s2049" type="#_x0000_t136" style="position:absolute;margin-left:0;margin-top:0;width:582.8pt;height:145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  PLAN"/>
              <w10:wrap anchorx="margin" anchory="margin"/>
            </v:shape>
          </w:pict>
        </w:r>
      </w:sdtContent>
    </w:sdt>
    <w:r w:rsidR="006239CE">
      <w:t xml:space="preserve">Post Corona (2020) </w:t>
    </w:r>
    <w:r w:rsidR="004E45C2">
      <w:t>–</w:t>
    </w:r>
    <w:r w:rsidR="00E72542">
      <w:t xml:space="preserve"> </w:t>
    </w:r>
    <w:r w:rsidR="006239CE">
      <w:t>Catch</w:t>
    </w:r>
    <w:r w:rsidR="004E45C2">
      <w:t>-</w:t>
    </w:r>
    <w:r w:rsidR="006239CE">
      <w:t>up plan</w:t>
    </w:r>
  </w:p>
  <w:p w14:paraId="06A456D2" w14:textId="5F10C93B" w:rsidR="006239CE" w:rsidRDefault="006239CE">
    <w:pPr>
      <w:pStyle w:val="Header"/>
    </w:pPr>
    <w:r>
      <w:t>Recognising the curriculum as Subject knowledge, Curriculum knowledge and Pedagogical knowledge</w:t>
    </w:r>
    <w:r w:rsidR="00E72542">
      <w:t xml:space="preserve"> </w:t>
    </w:r>
    <w:r>
      <w:t>- A support tool for subject leaders to inform MTP</w:t>
    </w:r>
  </w:p>
  <w:p w14:paraId="5C2E09CC" w14:textId="2B2DDAFF" w:rsidR="00E72542" w:rsidRDefault="00E72542">
    <w:pPr>
      <w:pStyle w:val="Header"/>
    </w:pPr>
    <w:r>
      <w:t>Year 5 &amp; 6 content and enquiry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A"/>
    <w:rsid w:val="000170E7"/>
    <w:rsid w:val="000230F7"/>
    <w:rsid w:val="00050B73"/>
    <w:rsid w:val="0005546E"/>
    <w:rsid w:val="001050C4"/>
    <w:rsid w:val="00194A44"/>
    <w:rsid w:val="001A0627"/>
    <w:rsid w:val="001C1067"/>
    <w:rsid w:val="001C6B0C"/>
    <w:rsid w:val="001D6E6A"/>
    <w:rsid w:val="00267625"/>
    <w:rsid w:val="00277FA1"/>
    <w:rsid w:val="00282063"/>
    <w:rsid w:val="002A0B82"/>
    <w:rsid w:val="003341CB"/>
    <w:rsid w:val="003A76FF"/>
    <w:rsid w:val="00450C87"/>
    <w:rsid w:val="004A1C9C"/>
    <w:rsid w:val="004A6303"/>
    <w:rsid w:val="004E45C2"/>
    <w:rsid w:val="004E4DEE"/>
    <w:rsid w:val="00524EF3"/>
    <w:rsid w:val="00532F7E"/>
    <w:rsid w:val="00570FD4"/>
    <w:rsid w:val="005B21F2"/>
    <w:rsid w:val="0060666E"/>
    <w:rsid w:val="006239CE"/>
    <w:rsid w:val="00645E8C"/>
    <w:rsid w:val="00697F3A"/>
    <w:rsid w:val="006F3B6B"/>
    <w:rsid w:val="00717881"/>
    <w:rsid w:val="00722187"/>
    <w:rsid w:val="0075575C"/>
    <w:rsid w:val="00777656"/>
    <w:rsid w:val="007C4637"/>
    <w:rsid w:val="008315B9"/>
    <w:rsid w:val="008529DF"/>
    <w:rsid w:val="008A1910"/>
    <w:rsid w:val="00900082"/>
    <w:rsid w:val="00900EEC"/>
    <w:rsid w:val="00962C8B"/>
    <w:rsid w:val="009630B3"/>
    <w:rsid w:val="00970CEF"/>
    <w:rsid w:val="00992F9D"/>
    <w:rsid w:val="009A7DA6"/>
    <w:rsid w:val="009A7EDE"/>
    <w:rsid w:val="009F5AA0"/>
    <w:rsid w:val="00A56950"/>
    <w:rsid w:val="00A57D4A"/>
    <w:rsid w:val="00A77EBF"/>
    <w:rsid w:val="00A90339"/>
    <w:rsid w:val="00AB4152"/>
    <w:rsid w:val="00AD77B7"/>
    <w:rsid w:val="00B34F90"/>
    <w:rsid w:val="00BA42D5"/>
    <w:rsid w:val="00BC1553"/>
    <w:rsid w:val="00C54E95"/>
    <w:rsid w:val="00C74684"/>
    <w:rsid w:val="00C7583F"/>
    <w:rsid w:val="00C80A4B"/>
    <w:rsid w:val="00C8223F"/>
    <w:rsid w:val="00C8755C"/>
    <w:rsid w:val="00CB283D"/>
    <w:rsid w:val="00CF509C"/>
    <w:rsid w:val="00E520E1"/>
    <w:rsid w:val="00E62C90"/>
    <w:rsid w:val="00E70DDF"/>
    <w:rsid w:val="00E72542"/>
    <w:rsid w:val="00E80B6D"/>
    <w:rsid w:val="00E8543F"/>
    <w:rsid w:val="00EF6C1C"/>
    <w:rsid w:val="00F706AF"/>
    <w:rsid w:val="00FA6518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1DC404"/>
  <w15:chartTrackingRefBased/>
  <w15:docId w15:val="{F26373AB-85F0-46B3-BABC-FF2453C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6A"/>
  </w:style>
  <w:style w:type="paragraph" w:styleId="Footer">
    <w:name w:val="footer"/>
    <w:basedOn w:val="Normal"/>
    <w:link w:val="Foot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6A"/>
  </w:style>
  <w:style w:type="table" w:styleId="TableGrid">
    <w:name w:val="Table Grid"/>
    <w:basedOn w:val="TableNormal"/>
    <w:uiPriority w:val="39"/>
    <w:rsid w:val="001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Lawrence</dc:creator>
  <cp:keywords/>
  <dc:description/>
  <cp:lastModifiedBy>Liz Lawrence</cp:lastModifiedBy>
  <cp:revision>16</cp:revision>
  <dcterms:created xsi:type="dcterms:W3CDTF">2020-06-18T21:32:00Z</dcterms:created>
  <dcterms:modified xsi:type="dcterms:W3CDTF">2020-06-30T08:20:00Z</dcterms:modified>
</cp:coreProperties>
</file>