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D8F1" w14:textId="0BF505C7" w:rsidR="001D6E6A" w:rsidRPr="00FA6518" w:rsidRDefault="001D6E6A" w:rsidP="00BC155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D6E6A" w:rsidRPr="009A7DA6" w14:paraId="1930300C" w14:textId="77777777" w:rsidTr="00267625">
        <w:tc>
          <w:tcPr>
            <w:tcW w:w="5148" w:type="dxa"/>
          </w:tcPr>
          <w:p w14:paraId="38B43EC7" w14:textId="04EDD5AE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5149" w:type="dxa"/>
          </w:tcPr>
          <w:p w14:paraId="75D92039" w14:textId="4060F6B1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5149" w:type="dxa"/>
          </w:tcPr>
          <w:p w14:paraId="25B612EF" w14:textId="4E588D85" w:rsidR="001D6E6A" w:rsidRPr="009A7DA6" w:rsidRDefault="001D6E6A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Summer</w:t>
            </w:r>
          </w:p>
        </w:tc>
      </w:tr>
      <w:tr w:rsidR="00810717" w:rsidRPr="009A7DA6" w14:paraId="02B70DA3" w14:textId="77777777" w:rsidTr="00FC34D7">
        <w:tc>
          <w:tcPr>
            <w:tcW w:w="15446" w:type="dxa"/>
            <w:gridSpan w:val="3"/>
          </w:tcPr>
          <w:p w14:paraId="5EB93870" w14:textId="3EBBBA48" w:rsidR="00810717" w:rsidRPr="009A7DA6" w:rsidRDefault="00810717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</w:t>
            </w:r>
          </w:p>
        </w:tc>
      </w:tr>
      <w:tr w:rsidR="00810717" w:rsidRPr="009A7DA6" w14:paraId="72973AAB" w14:textId="77777777" w:rsidTr="00267625">
        <w:tc>
          <w:tcPr>
            <w:tcW w:w="5148" w:type="dxa"/>
          </w:tcPr>
          <w:p w14:paraId="422109CF" w14:textId="3672E39A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– nutrition (with D&amp;T) and skeletons</w:t>
            </w:r>
          </w:p>
        </w:tc>
        <w:tc>
          <w:tcPr>
            <w:tcW w:w="5149" w:type="dxa"/>
          </w:tcPr>
          <w:p w14:paraId="08823487" w14:textId="0D371D16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5149" w:type="dxa"/>
          </w:tcPr>
          <w:p w14:paraId="0625C8DB" w14:textId="3EED7B92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 w:rsidRPr="00103666">
              <w:rPr>
                <w:color w:val="FF0000"/>
                <w:sz w:val="20"/>
                <w:szCs w:val="20"/>
              </w:rPr>
              <w:t>Rocks and soils – partly taught as home learning</w:t>
            </w:r>
          </w:p>
        </w:tc>
      </w:tr>
      <w:tr w:rsidR="00810717" w:rsidRPr="009A7DA6" w14:paraId="1920F374" w14:textId="77777777" w:rsidTr="00267625">
        <w:tc>
          <w:tcPr>
            <w:tcW w:w="5148" w:type="dxa"/>
          </w:tcPr>
          <w:p w14:paraId="508C2774" w14:textId="7DF2E304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5149" w:type="dxa"/>
          </w:tcPr>
          <w:p w14:paraId="2BD26961" w14:textId="7CFCF91C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 w:rsidRPr="00A3083F">
              <w:rPr>
                <w:color w:val="ED7D31" w:themeColor="accent2"/>
                <w:sz w:val="20"/>
                <w:szCs w:val="20"/>
              </w:rPr>
              <w:t xml:space="preserve">Plants – parts and functions, </w:t>
            </w:r>
            <w:r w:rsidRPr="00103666">
              <w:rPr>
                <w:color w:val="ED7D31" w:themeColor="accent2"/>
                <w:sz w:val="20"/>
                <w:szCs w:val="20"/>
              </w:rPr>
              <w:t>planting</w:t>
            </w:r>
            <w:r w:rsidR="00A3083F">
              <w:rPr>
                <w:color w:val="ED7D31" w:themeColor="accent2"/>
                <w:sz w:val="20"/>
                <w:szCs w:val="20"/>
              </w:rPr>
              <w:t xml:space="preserve"> - partly completed</w:t>
            </w:r>
          </w:p>
        </w:tc>
        <w:tc>
          <w:tcPr>
            <w:tcW w:w="5149" w:type="dxa"/>
          </w:tcPr>
          <w:p w14:paraId="422178B8" w14:textId="552956F0" w:rsidR="00810717" w:rsidRPr="00103666" w:rsidRDefault="00103666" w:rsidP="00FA6518">
            <w:pPr>
              <w:spacing w:line="288" w:lineRule="auto"/>
              <w:rPr>
                <w:sz w:val="20"/>
                <w:szCs w:val="20"/>
              </w:rPr>
            </w:pPr>
            <w:r w:rsidRPr="00103666">
              <w:rPr>
                <w:color w:val="FF0000"/>
                <w:sz w:val="20"/>
                <w:szCs w:val="20"/>
              </w:rPr>
              <w:t>Plants – later stages of life cycle</w:t>
            </w:r>
            <w:r>
              <w:rPr>
                <w:color w:val="FF0000"/>
                <w:sz w:val="20"/>
                <w:szCs w:val="20"/>
              </w:rPr>
              <w:t xml:space="preserve"> – partly as home learning</w:t>
            </w:r>
          </w:p>
        </w:tc>
      </w:tr>
      <w:tr w:rsidR="00C7583F" w:rsidRPr="009A7DA6" w14:paraId="58547C74" w14:textId="77777777" w:rsidTr="0089350B">
        <w:tc>
          <w:tcPr>
            <w:tcW w:w="15446" w:type="dxa"/>
            <w:gridSpan w:val="3"/>
          </w:tcPr>
          <w:p w14:paraId="57F7CBDB" w14:textId="1B24AD2B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4</w:t>
            </w:r>
          </w:p>
        </w:tc>
      </w:tr>
      <w:tr w:rsidR="001D6E6A" w:rsidRPr="009A7DA6" w14:paraId="538F75A8" w14:textId="77777777" w:rsidTr="00267625">
        <w:tc>
          <w:tcPr>
            <w:tcW w:w="5148" w:type="dxa"/>
          </w:tcPr>
          <w:p w14:paraId="68B00004" w14:textId="7FF43956" w:rsidR="001D6E6A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- D</w:t>
            </w:r>
            <w:r w:rsidR="001D6E6A" w:rsidRPr="009A7DA6">
              <w:rPr>
                <w:sz w:val="20"/>
                <w:szCs w:val="20"/>
              </w:rPr>
              <w:t>igestive system</w:t>
            </w:r>
          </w:p>
        </w:tc>
        <w:tc>
          <w:tcPr>
            <w:tcW w:w="5149" w:type="dxa"/>
          </w:tcPr>
          <w:p w14:paraId="42FD9A7B" w14:textId="3ADF0525" w:rsidR="001D6E6A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 xml:space="preserve">Materials </w:t>
            </w:r>
          </w:p>
        </w:tc>
        <w:tc>
          <w:tcPr>
            <w:tcW w:w="5149" w:type="dxa"/>
          </w:tcPr>
          <w:p w14:paraId="161C3249" w14:textId="5C0D0791" w:rsidR="001D6E6A" w:rsidRPr="009A7DA6" w:rsidRDefault="00BC1553" w:rsidP="00FA6518">
            <w:pPr>
              <w:spacing w:line="288" w:lineRule="auto"/>
              <w:rPr>
                <w:color w:val="FF0000"/>
                <w:sz w:val="20"/>
                <w:szCs w:val="20"/>
              </w:rPr>
            </w:pPr>
            <w:r w:rsidRPr="00746D00">
              <w:rPr>
                <w:sz w:val="20"/>
                <w:szCs w:val="20"/>
                <w:highlight w:val="yellow"/>
              </w:rPr>
              <w:t>Habitats - C</w:t>
            </w:r>
            <w:r w:rsidR="001D6E6A" w:rsidRPr="00746D00">
              <w:rPr>
                <w:sz w:val="20"/>
                <w:szCs w:val="20"/>
                <w:highlight w:val="yellow"/>
              </w:rPr>
              <w:t>lassification</w:t>
            </w:r>
            <w:r w:rsidRPr="00810717">
              <w:rPr>
                <w:sz w:val="20"/>
                <w:szCs w:val="20"/>
              </w:rPr>
              <w:t xml:space="preserve"> and Animals - </w:t>
            </w:r>
            <w:r w:rsidR="001D6E6A" w:rsidRPr="00810717">
              <w:rPr>
                <w:sz w:val="20"/>
                <w:szCs w:val="20"/>
              </w:rPr>
              <w:t>food chains</w:t>
            </w:r>
            <w:r w:rsidR="009A7DA6" w:rsidRPr="00810717">
              <w:rPr>
                <w:sz w:val="20"/>
                <w:szCs w:val="20"/>
              </w:rPr>
              <w:t xml:space="preserve"> </w:t>
            </w:r>
          </w:p>
        </w:tc>
      </w:tr>
      <w:tr w:rsidR="001D6E6A" w:rsidRPr="009A7DA6" w14:paraId="1CFDC287" w14:textId="77777777" w:rsidTr="00267625">
        <w:tc>
          <w:tcPr>
            <w:tcW w:w="5148" w:type="dxa"/>
          </w:tcPr>
          <w:p w14:paraId="15FF4EE7" w14:textId="0B872144" w:rsidR="001D6E6A" w:rsidRPr="009A7DA6" w:rsidRDefault="001D6E6A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Sound</w:t>
            </w:r>
          </w:p>
        </w:tc>
        <w:tc>
          <w:tcPr>
            <w:tcW w:w="5149" w:type="dxa"/>
          </w:tcPr>
          <w:p w14:paraId="7E82C01E" w14:textId="7AE83FA8" w:rsidR="001D6E6A" w:rsidRPr="00810717" w:rsidRDefault="001D6E6A" w:rsidP="00FA6518">
            <w:pPr>
              <w:spacing w:line="288" w:lineRule="auto"/>
              <w:rPr>
                <w:sz w:val="20"/>
                <w:szCs w:val="20"/>
              </w:rPr>
            </w:pPr>
            <w:r w:rsidRPr="00810717">
              <w:rPr>
                <w:sz w:val="20"/>
                <w:szCs w:val="20"/>
              </w:rPr>
              <w:t>Electricity</w:t>
            </w:r>
            <w:r w:rsidR="009A7DA6" w:rsidRPr="008107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14:paraId="791134AF" w14:textId="4143AB3D" w:rsidR="001D6E6A" w:rsidRPr="00810717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810717">
              <w:rPr>
                <w:sz w:val="20"/>
                <w:szCs w:val="20"/>
              </w:rPr>
              <w:t>Habitats - H</w:t>
            </w:r>
            <w:r w:rsidR="001D6E6A" w:rsidRPr="00810717">
              <w:rPr>
                <w:sz w:val="20"/>
                <w:szCs w:val="20"/>
              </w:rPr>
              <w:t>uman impact</w:t>
            </w:r>
            <w:r w:rsidR="009A7DA6" w:rsidRPr="00810717">
              <w:rPr>
                <w:sz w:val="20"/>
                <w:szCs w:val="20"/>
              </w:rPr>
              <w:t xml:space="preserve"> </w:t>
            </w:r>
          </w:p>
        </w:tc>
      </w:tr>
      <w:tr w:rsidR="00C7583F" w:rsidRPr="009A7DA6" w14:paraId="4EAAAE9C" w14:textId="77777777" w:rsidTr="00D60460">
        <w:trPr>
          <w:trHeight w:val="272"/>
        </w:trPr>
        <w:tc>
          <w:tcPr>
            <w:tcW w:w="15446" w:type="dxa"/>
            <w:gridSpan w:val="3"/>
          </w:tcPr>
          <w:p w14:paraId="5AD8EA8B" w14:textId="73B581D8" w:rsidR="00C7583F" w:rsidRPr="009A7DA6" w:rsidRDefault="00C7583F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5</w:t>
            </w:r>
          </w:p>
        </w:tc>
      </w:tr>
      <w:tr w:rsidR="00BC1553" w:rsidRPr="009A7DA6" w14:paraId="0E054A4B" w14:textId="77777777" w:rsidTr="00267625">
        <w:tc>
          <w:tcPr>
            <w:tcW w:w="5148" w:type="dxa"/>
          </w:tcPr>
          <w:p w14:paraId="57587FF0" w14:textId="383362F8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Earth and space</w:t>
            </w:r>
          </w:p>
        </w:tc>
        <w:tc>
          <w:tcPr>
            <w:tcW w:w="5149" w:type="dxa"/>
          </w:tcPr>
          <w:p w14:paraId="7931118C" w14:textId="5C26FAC7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Materials – properties and uses</w:t>
            </w:r>
          </w:p>
        </w:tc>
        <w:tc>
          <w:tcPr>
            <w:tcW w:w="5149" w:type="dxa"/>
          </w:tcPr>
          <w:p w14:paraId="6A7B0F42" w14:textId="0A9D2D69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746D00">
              <w:rPr>
                <w:sz w:val="20"/>
                <w:szCs w:val="20"/>
                <w:highlight w:val="yellow"/>
              </w:rPr>
              <w:t>Habitats – life cycles</w:t>
            </w:r>
          </w:p>
        </w:tc>
      </w:tr>
      <w:tr w:rsidR="00BC1553" w:rsidRPr="009A7DA6" w14:paraId="33602EED" w14:textId="77777777" w:rsidTr="00267625">
        <w:tc>
          <w:tcPr>
            <w:tcW w:w="5148" w:type="dxa"/>
          </w:tcPr>
          <w:p w14:paraId="117629A9" w14:textId="006B9151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Forces</w:t>
            </w:r>
          </w:p>
        </w:tc>
        <w:tc>
          <w:tcPr>
            <w:tcW w:w="5149" w:type="dxa"/>
          </w:tcPr>
          <w:p w14:paraId="7D28E892" w14:textId="2750D94A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Materials - changes</w:t>
            </w:r>
          </w:p>
        </w:tc>
        <w:tc>
          <w:tcPr>
            <w:tcW w:w="5149" w:type="dxa"/>
          </w:tcPr>
          <w:p w14:paraId="256F2160" w14:textId="39552B80" w:rsidR="00BC1553" w:rsidRPr="009A7DA6" w:rsidRDefault="00BC1553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– human life cycle (taught with SRE)</w:t>
            </w:r>
          </w:p>
        </w:tc>
      </w:tr>
      <w:tr w:rsidR="00C7583F" w:rsidRPr="009A7DA6" w14:paraId="5C3AAE7A" w14:textId="77777777" w:rsidTr="00AE1B43">
        <w:tc>
          <w:tcPr>
            <w:tcW w:w="15446" w:type="dxa"/>
            <w:gridSpan w:val="3"/>
          </w:tcPr>
          <w:p w14:paraId="04BCDB6E" w14:textId="1D6466EA" w:rsidR="00C7583F" w:rsidRPr="009A7DA6" w:rsidRDefault="00C7583F" w:rsidP="00FA651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A7DA6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A27464" w:rsidRPr="009A7DA6" w14:paraId="1C084FC2" w14:textId="77777777" w:rsidTr="00A27464">
        <w:tc>
          <w:tcPr>
            <w:tcW w:w="5148" w:type="dxa"/>
          </w:tcPr>
          <w:p w14:paraId="1115A68B" w14:textId="0B41EBB0" w:rsidR="00A27464" w:rsidRPr="009A7DA6" w:rsidRDefault="00A27464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Animals – circulatory system and health (with PSHE)</w:t>
            </w:r>
          </w:p>
        </w:tc>
        <w:tc>
          <w:tcPr>
            <w:tcW w:w="5149" w:type="dxa"/>
          </w:tcPr>
          <w:p w14:paraId="06A2D7C6" w14:textId="485A4C7B" w:rsidR="00A27464" w:rsidRPr="009A7DA6" w:rsidRDefault="00A27464" w:rsidP="00FA6518">
            <w:pPr>
              <w:spacing w:line="288" w:lineRule="auto"/>
              <w:rPr>
                <w:sz w:val="20"/>
                <w:szCs w:val="20"/>
              </w:rPr>
            </w:pPr>
            <w:r w:rsidRPr="00746D00">
              <w:rPr>
                <w:sz w:val="20"/>
                <w:szCs w:val="20"/>
                <w:highlight w:val="yellow"/>
              </w:rPr>
              <w:t>Evolution and inheritance</w:t>
            </w:r>
          </w:p>
        </w:tc>
        <w:tc>
          <w:tcPr>
            <w:tcW w:w="5149" w:type="dxa"/>
            <w:vMerge w:val="restart"/>
            <w:vAlign w:val="center"/>
          </w:tcPr>
          <w:p w14:paraId="303C8007" w14:textId="6C1D7426" w:rsidR="00A27464" w:rsidRPr="009A7DA6" w:rsidRDefault="00A27464" w:rsidP="00A27464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Habitats - classification</w:t>
            </w:r>
          </w:p>
        </w:tc>
      </w:tr>
      <w:tr w:rsidR="00A27464" w:rsidRPr="009A7DA6" w14:paraId="0F6D4AF5" w14:textId="77777777" w:rsidTr="00267625">
        <w:tc>
          <w:tcPr>
            <w:tcW w:w="5148" w:type="dxa"/>
          </w:tcPr>
          <w:p w14:paraId="5243F92B" w14:textId="594FFDED" w:rsidR="00A27464" w:rsidRPr="009A7DA6" w:rsidRDefault="00A27464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Light</w:t>
            </w:r>
          </w:p>
        </w:tc>
        <w:tc>
          <w:tcPr>
            <w:tcW w:w="5149" w:type="dxa"/>
          </w:tcPr>
          <w:p w14:paraId="14BAD2AC" w14:textId="4FDDC99B" w:rsidR="00A27464" w:rsidRPr="009A7DA6" w:rsidRDefault="00A27464" w:rsidP="00FA6518">
            <w:pPr>
              <w:spacing w:line="288" w:lineRule="auto"/>
              <w:rPr>
                <w:sz w:val="20"/>
                <w:szCs w:val="20"/>
              </w:rPr>
            </w:pPr>
            <w:r w:rsidRPr="009A7DA6">
              <w:rPr>
                <w:sz w:val="20"/>
                <w:szCs w:val="20"/>
              </w:rPr>
              <w:t>Electricity</w:t>
            </w:r>
          </w:p>
        </w:tc>
        <w:tc>
          <w:tcPr>
            <w:tcW w:w="5149" w:type="dxa"/>
            <w:vMerge/>
          </w:tcPr>
          <w:p w14:paraId="5E30C11C" w14:textId="76711AC8" w:rsidR="00A27464" w:rsidRPr="009A7DA6" w:rsidRDefault="00A27464" w:rsidP="00FA6518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0C7B4686" w14:textId="5E9D738F" w:rsidR="001D6E6A" w:rsidRPr="009A7DA6" w:rsidRDefault="001D6E6A" w:rsidP="001C106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1843"/>
        <w:gridCol w:w="1984"/>
        <w:gridCol w:w="1701"/>
        <w:gridCol w:w="1701"/>
        <w:gridCol w:w="1701"/>
      </w:tblGrid>
      <w:tr w:rsidR="00A3083F" w:rsidRPr="009A7DA6" w14:paraId="7810557C" w14:textId="2A5FAF97" w:rsidTr="00A0685A">
        <w:tc>
          <w:tcPr>
            <w:tcW w:w="2972" w:type="dxa"/>
          </w:tcPr>
          <w:p w14:paraId="3E41056C" w14:textId="587ED16D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Missed / at risk content from 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79D55A" w14:textId="55BF872D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843" w:type="dxa"/>
          </w:tcPr>
          <w:p w14:paraId="5FFAC4B8" w14:textId="2C47AA92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1843" w:type="dxa"/>
          </w:tcPr>
          <w:p w14:paraId="3259BDAE" w14:textId="3539A30D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  <w:tc>
          <w:tcPr>
            <w:tcW w:w="1984" w:type="dxa"/>
          </w:tcPr>
          <w:p w14:paraId="37CE9933" w14:textId="14353A90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ear 5 </w:t>
            </w:r>
            <w:r w:rsidRPr="009A7DA6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0BD7FCF7" w14:textId="5E573014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7DA6"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  <w:tc>
          <w:tcPr>
            <w:tcW w:w="1701" w:type="dxa"/>
          </w:tcPr>
          <w:p w14:paraId="15C73109" w14:textId="3AB7CCA0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6 Actions</w:t>
            </w:r>
          </w:p>
        </w:tc>
        <w:tc>
          <w:tcPr>
            <w:tcW w:w="1701" w:type="dxa"/>
          </w:tcPr>
          <w:p w14:paraId="33DFEA8E" w14:textId="263B9198" w:rsidR="00810717" w:rsidRPr="009A7DA6" w:rsidRDefault="008107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Initial assessment</w:t>
            </w:r>
          </w:p>
        </w:tc>
      </w:tr>
      <w:tr w:rsidR="002B4182" w:rsidRPr="009A7DA6" w14:paraId="3B28D8C4" w14:textId="303613FE" w:rsidTr="00CC60F1">
        <w:tc>
          <w:tcPr>
            <w:tcW w:w="15446" w:type="dxa"/>
            <w:gridSpan w:val="8"/>
          </w:tcPr>
          <w:p w14:paraId="25A9B8EA" w14:textId="392C29BD" w:rsidR="002B4182" w:rsidRPr="009A7DA6" w:rsidRDefault="002B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Rocks</w:t>
            </w:r>
          </w:p>
        </w:tc>
      </w:tr>
      <w:tr w:rsidR="00481B41" w:rsidRPr="009A7DA6" w14:paraId="7520825D" w14:textId="7B27A0FA" w:rsidTr="00A0685A">
        <w:tc>
          <w:tcPr>
            <w:tcW w:w="2972" w:type="dxa"/>
          </w:tcPr>
          <w:p w14:paraId="404055C1" w14:textId="23C8E96F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  <w:r w:rsidRPr="00810717">
              <w:rPr>
                <w:rFonts w:cstheme="minorHAnsi"/>
                <w:sz w:val="20"/>
                <w:szCs w:val="20"/>
              </w:rPr>
              <w:t xml:space="preserve">compare and group together different kinds of rocks </w:t>
            </w:r>
            <w:proofErr w:type="gramStart"/>
            <w:r w:rsidRPr="00810717">
              <w:rPr>
                <w:rFonts w:cstheme="minorHAnsi"/>
                <w:sz w:val="20"/>
                <w:szCs w:val="20"/>
              </w:rPr>
              <w:t>on the basis of</w:t>
            </w:r>
            <w:proofErr w:type="gramEnd"/>
            <w:r w:rsidRPr="00810717">
              <w:rPr>
                <w:rFonts w:cstheme="minorHAnsi"/>
                <w:sz w:val="20"/>
                <w:szCs w:val="20"/>
              </w:rPr>
              <w:t xml:space="preserve"> their appearance and simple physical properties</w:t>
            </w:r>
          </w:p>
        </w:tc>
        <w:tc>
          <w:tcPr>
            <w:tcW w:w="1701" w:type="dxa"/>
            <w:vMerge w:val="restart"/>
            <w:vAlign w:val="center"/>
          </w:tcPr>
          <w:p w14:paraId="7F26A1EE" w14:textId="41D660D5" w:rsidR="00481B41" w:rsidRPr="009A7DA6" w:rsidRDefault="00481B41" w:rsidP="008107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able to teach as home learning</w:t>
            </w:r>
          </w:p>
        </w:tc>
        <w:tc>
          <w:tcPr>
            <w:tcW w:w="1843" w:type="dxa"/>
            <w:vAlign w:val="center"/>
          </w:tcPr>
          <w:p w14:paraId="46C3DECB" w14:textId="3D577B0A" w:rsidR="00481B41" w:rsidRPr="00810717" w:rsidRDefault="00481B41" w:rsidP="00810717">
            <w:pPr>
              <w:rPr>
                <w:rFonts w:cstheme="minorHAnsi"/>
                <w:sz w:val="20"/>
                <w:szCs w:val="20"/>
              </w:rPr>
            </w:pPr>
            <w:r w:rsidRPr="00810717">
              <w:rPr>
                <w:rFonts w:cstheme="minorHAnsi"/>
                <w:sz w:val="20"/>
                <w:szCs w:val="20"/>
              </w:rPr>
              <w:t xml:space="preserve">Include rocks </w:t>
            </w:r>
            <w:r w:rsidR="005909EB">
              <w:rPr>
                <w:rFonts w:cstheme="minorHAnsi"/>
                <w:sz w:val="20"/>
                <w:szCs w:val="20"/>
              </w:rPr>
              <w:t xml:space="preserve">and soils </w:t>
            </w:r>
            <w:r w:rsidRPr="00810717">
              <w:rPr>
                <w:rFonts w:cstheme="minorHAnsi"/>
                <w:sz w:val="20"/>
                <w:szCs w:val="20"/>
              </w:rPr>
              <w:t>in habitats unit</w:t>
            </w:r>
          </w:p>
          <w:p w14:paraId="081F18FB" w14:textId="6B29301D" w:rsidR="00481B41" w:rsidRPr="009A7DA6" w:rsidRDefault="00481B41" w:rsidP="00810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0E0FDB" w14:textId="4DB75DB8" w:rsidR="00481B41" w:rsidRPr="00F038E9" w:rsidRDefault="00481B41" w:rsidP="0081071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38E9">
              <w:rPr>
                <w:rFonts w:cstheme="minorHAnsi"/>
                <w:i/>
                <w:iCs/>
                <w:sz w:val="20"/>
                <w:szCs w:val="20"/>
              </w:rPr>
              <w:t>Big Question – Where did the soil in our nature area come from?</w:t>
            </w:r>
          </w:p>
        </w:tc>
        <w:tc>
          <w:tcPr>
            <w:tcW w:w="1984" w:type="dxa"/>
            <w:vMerge w:val="restart"/>
          </w:tcPr>
          <w:p w14:paraId="328300A7" w14:textId="7106F51C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6BCD411" w14:textId="2195205B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C2C6155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A578AF6" w14:textId="77777777" w:rsidR="00481B41" w:rsidRPr="00F038E9" w:rsidRDefault="00481B4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81B41" w:rsidRPr="009A7DA6" w14:paraId="4D22245A" w14:textId="77777777" w:rsidTr="00A0685A">
        <w:tc>
          <w:tcPr>
            <w:tcW w:w="2972" w:type="dxa"/>
          </w:tcPr>
          <w:p w14:paraId="5742FB00" w14:textId="5E3AAD54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  <w:r w:rsidRPr="00810717">
              <w:rPr>
                <w:rFonts w:cstheme="minorHAnsi"/>
                <w:sz w:val="20"/>
                <w:szCs w:val="20"/>
              </w:rPr>
              <w:t>recognise that soils are made from rocks and organic matter</w:t>
            </w:r>
          </w:p>
        </w:tc>
        <w:tc>
          <w:tcPr>
            <w:tcW w:w="1701" w:type="dxa"/>
            <w:vMerge/>
          </w:tcPr>
          <w:p w14:paraId="3FA41341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B889A2" w14:textId="77777777" w:rsidR="00481B41" w:rsidRPr="00C93040" w:rsidRDefault="005909E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C9304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4A15A6E3" w14:textId="77777777" w:rsidR="005909EB" w:rsidRPr="00C93040" w:rsidRDefault="005909EB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C9304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Identify and group rocks</w:t>
            </w:r>
          </w:p>
          <w:p w14:paraId="06052DF1" w14:textId="7A468B05" w:rsidR="005909EB" w:rsidRPr="00C93040" w:rsidRDefault="00114AB2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 xml:space="preserve">TAPS focussed assessment: Rock reports (hardness) </w:t>
            </w:r>
          </w:p>
          <w:p w14:paraId="14837FCE" w14:textId="477F044E" w:rsidR="005909EB" w:rsidRPr="005909EB" w:rsidRDefault="005909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04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Classify rocks as permeable or not.</w:t>
            </w:r>
          </w:p>
        </w:tc>
        <w:tc>
          <w:tcPr>
            <w:tcW w:w="1843" w:type="dxa"/>
            <w:vMerge/>
          </w:tcPr>
          <w:p w14:paraId="13CAB77D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2EDEBFB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2F784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5E5C0B" w14:textId="77777777" w:rsidR="00481B41" w:rsidRPr="009A7DA6" w:rsidRDefault="00481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FDEAB5" w14:textId="77777777" w:rsidR="00481B41" w:rsidRPr="00F038E9" w:rsidRDefault="00481B4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909EB" w:rsidRPr="009A7DA6" w14:paraId="2DB89727" w14:textId="77777777" w:rsidTr="005909EB">
        <w:trPr>
          <w:trHeight w:val="490"/>
        </w:trPr>
        <w:tc>
          <w:tcPr>
            <w:tcW w:w="2972" w:type="dxa"/>
            <w:vMerge w:val="restart"/>
          </w:tcPr>
          <w:p w14:paraId="6CC1F5BB" w14:textId="77777777" w:rsidR="005909EB" w:rsidRDefault="005909EB">
            <w:pPr>
              <w:rPr>
                <w:rFonts w:cstheme="minorHAnsi"/>
                <w:sz w:val="20"/>
                <w:szCs w:val="20"/>
              </w:rPr>
            </w:pPr>
            <w:r w:rsidRPr="00810717">
              <w:rPr>
                <w:rFonts w:cstheme="minorHAnsi"/>
                <w:sz w:val="20"/>
                <w:szCs w:val="20"/>
              </w:rPr>
              <w:t>describe in simple terms how fossils are formed when things that have lived are trapped within rock</w:t>
            </w:r>
          </w:p>
          <w:p w14:paraId="7143F8AB" w14:textId="77777777" w:rsidR="00995C94" w:rsidRPr="00995C94" w:rsidRDefault="00995C94" w:rsidP="00995C94">
            <w:pPr>
              <w:rPr>
                <w:rFonts w:cstheme="minorHAnsi"/>
                <w:sz w:val="20"/>
                <w:szCs w:val="20"/>
              </w:rPr>
            </w:pPr>
          </w:p>
          <w:p w14:paraId="0A54775E" w14:textId="67FD08B5" w:rsidR="00995C94" w:rsidRPr="00995C94" w:rsidRDefault="00995C94" w:rsidP="00995C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574158E" w14:textId="47662EBE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Taught as home learning</w:t>
            </w:r>
          </w:p>
        </w:tc>
        <w:tc>
          <w:tcPr>
            <w:tcW w:w="1843" w:type="dxa"/>
            <w:vMerge w:val="restart"/>
          </w:tcPr>
          <w:p w14:paraId="316BE292" w14:textId="085C084E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2DFC9CB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E4D208D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FE696B7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0CDFD" w14:textId="04EC7EFD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  <w:r w:rsidRPr="00103666">
              <w:rPr>
                <w:rFonts w:cstheme="minorHAnsi"/>
                <w:sz w:val="20"/>
                <w:szCs w:val="20"/>
              </w:rPr>
              <w:t>Revisit and consolidate in evolution unit</w:t>
            </w:r>
          </w:p>
        </w:tc>
        <w:tc>
          <w:tcPr>
            <w:tcW w:w="1701" w:type="dxa"/>
            <w:vMerge w:val="restart"/>
          </w:tcPr>
          <w:p w14:paraId="675B1EC7" w14:textId="6FE28DC1" w:rsidR="005909EB" w:rsidRPr="00F038E9" w:rsidRDefault="005909E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38E9">
              <w:rPr>
                <w:rFonts w:cstheme="minorHAnsi"/>
                <w:i/>
                <w:iCs/>
                <w:sz w:val="20"/>
                <w:szCs w:val="20"/>
              </w:rPr>
              <w:t>Odd one out – fossil, rock, skeleton</w:t>
            </w:r>
          </w:p>
        </w:tc>
      </w:tr>
      <w:tr w:rsidR="005909EB" w:rsidRPr="009A7DA6" w14:paraId="4354FA4A" w14:textId="77777777" w:rsidTr="00A0685A">
        <w:trPr>
          <w:trHeight w:val="490"/>
        </w:trPr>
        <w:tc>
          <w:tcPr>
            <w:tcW w:w="2972" w:type="dxa"/>
            <w:vMerge/>
          </w:tcPr>
          <w:p w14:paraId="7E530E7D" w14:textId="77777777" w:rsidR="005909EB" w:rsidRPr="00810717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5FDE46" w14:textId="77777777" w:rsidR="005909EB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DF0FDA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6FF1AA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096EDF0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32C83C" w14:textId="77777777" w:rsidR="005909EB" w:rsidRPr="009A7DA6" w:rsidRDefault="00590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C9D00" w14:textId="77777777" w:rsidR="005909EB" w:rsidRPr="00AA78E8" w:rsidRDefault="005909EB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AA78E8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0C387A8B" w14:textId="70401E4F" w:rsidR="005909EB" w:rsidRPr="005909EB" w:rsidRDefault="005909EB">
            <w:pPr>
              <w:rPr>
                <w:rFonts w:cstheme="minorHAnsi"/>
                <w:sz w:val="20"/>
                <w:szCs w:val="20"/>
              </w:rPr>
            </w:pPr>
            <w:r w:rsidRPr="00AA78E8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Could teach as research enquiry</w:t>
            </w:r>
          </w:p>
        </w:tc>
        <w:tc>
          <w:tcPr>
            <w:tcW w:w="1701" w:type="dxa"/>
            <w:vMerge/>
          </w:tcPr>
          <w:p w14:paraId="6DC1EAAE" w14:textId="77777777" w:rsidR="005909EB" w:rsidRPr="00103666" w:rsidRDefault="005909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E48F39" w14:textId="77777777" w:rsidR="00753EA9" w:rsidRDefault="00753EA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1843"/>
        <w:gridCol w:w="1984"/>
        <w:gridCol w:w="1701"/>
        <w:gridCol w:w="1701"/>
        <w:gridCol w:w="1701"/>
      </w:tblGrid>
      <w:tr w:rsidR="002B4182" w:rsidRPr="009A7DA6" w14:paraId="6B4062CD" w14:textId="4B7AC7D3" w:rsidTr="00066809">
        <w:tc>
          <w:tcPr>
            <w:tcW w:w="15446" w:type="dxa"/>
            <w:gridSpan w:val="8"/>
          </w:tcPr>
          <w:p w14:paraId="4050B5EE" w14:textId="10334105" w:rsidR="002B4182" w:rsidRPr="009A7DA6" w:rsidRDefault="002B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Plants</w:t>
            </w:r>
          </w:p>
        </w:tc>
      </w:tr>
      <w:tr w:rsidR="00481B41" w:rsidRPr="009A7DA6" w14:paraId="6A4503EE" w14:textId="736041DA" w:rsidTr="00A0685A">
        <w:trPr>
          <w:trHeight w:val="750"/>
        </w:trPr>
        <w:tc>
          <w:tcPr>
            <w:tcW w:w="2972" w:type="dxa"/>
          </w:tcPr>
          <w:p w14:paraId="4E517C41" w14:textId="0B9CF842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  <w:r w:rsidRPr="00673341">
              <w:rPr>
                <w:rFonts w:cstheme="minorHAnsi"/>
                <w:sz w:val="20"/>
                <w:szCs w:val="20"/>
              </w:rPr>
              <w:t xml:space="preserve">identify and describe the functions of different parts of flowering plants: roots, stem/trunk, leaves and </w:t>
            </w:r>
            <w:r w:rsidRPr="00A3083F">
              <w:rPr>
                <w:rFonts w:cstheme="minorHAnsi"/>
                <w:b/>
                <w:bCs/>
                <w:sz w:val="20"/>
                <w:szCs w:val="20"/>
              </w:rPr>
              <w:t xml:space="preserve">flowers </w:t>
            </w:r>
          </w:p>
        </w:tc>
        <w:tc>
          <w:tcPr>
            <w:tcW w:w="1701" w:type="dxa"/>
          </w:tcPr>
          <w:p w14:paraId="2718AAF2" w14:textId="060CBAA8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Taught except for functions of the flower</w:t>
            </w:r>
          </w:p>
        </w:tc>
        <w:tc>
          <w:tcPr>
            <w:tcW w:w="1843" w:type="dxa"/>
          </w:tcPr>
          <w:p w14:paraId="7862DDE0" w14:textId="3D7282BC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6E406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C66138" w14:textId="60134D3A" w:rsidR="00481B41" w:rsidRPr="009A7DA6" w:rsidRDefault="00481B41" w:rsidP="00481B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Include additional lessons </w:t>
            </w:r>
            <w:r w:rsidR="001D7C56">
              <w:rPr>
                <w:rFonts w:cstheme="minorHAnsi"/>
                <w:sz w:val="20"/>
                <w:szCs w:val="20"/>
              </w:rPr>
              <w:t xml:space="preserve">on plant life cycle </w:t>
            </w:r>
            <w:r>
              <w:rPr>
                <w:rFonts w:cstheme="minorHAnsi"/>
                <w:sz w:val="20"/>
                <w:szCs w:val="20"/>
              </w:rPr>
              <w:t>in habitats units</w:t>
            </w:r>
          </w:p>
        </w:tc>
        <w:tc>
          <w:tcPr>
            <w:tcW w:w="1701" w:type="dxa"/>
          </w:tcPr>
          <w:p w14:paraId="148C6D2D" w14:textId="7033DAA4" w:rsidR="00481B41" w:rsidRPr="00F038E9" w:rsidRDefault="001D7C56" w:rsidP="00A3083F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F038E9">
              <w:rPr>
                <w:rFonts w:cstheme="minorHAnsi"/>
                <w:i/>
                <w:iCs/>
                <w:sz w:val="20"/>
                <w:szCs w:val="20"/>
              </w:rPr>
              <w:t>Explorify</w:t>
            </w:r>
            <w:proofErr w:type="spellEnd"/>
            <w:r w:rsidRPr="00F038E9">
              <w:rPr>
                <w:rFonts w:cstheme="minorHAnsi"/>
                <w:i/>
                <w:iCs/>
                <w:sz w:val="20"/>
                <w:szCs w:val="20"/>
              </w:rPr>
              <w:t xml:space="preserve"> – Friends of flowers (Odd one out), </w:t>
            </w:r>
          </w:p>
        </w:tc>
        <w:tc>
          <w:tcPr>
            <w:tcW w:w="1701" w:type="dxa"/>
          </w:tcPr>
          <w:p w14:paraId="2C737999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B3298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B41" w:rsidRPr="009A7DA6" w14:paraId="681C5792" w14:textId="65082A96" w:rsidTr="00A0685A">
        <w:tc>
          <w:tcPr>
            <w:tcW w:w="2972" w:type="dxa"/>
          </w:tcPr>
          <w:p w14:paraId="201B47BD" w14:textId="550E3295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  <w:r w:rsidRPr="00673341">
              <w:rPr>
                <w:rFonts w:cstheme="minorHAnsi"/>
                <w:sz w:val="20"/>
                <w:szCs w:val="20"/>
              </w:rPr>
              <w:t>explore the part that flowers play in the life cycle of flowering plants, including pollination, seed formation and seed dispersal.</w:t>
            </w:r>
          </w:p>
        </w:tc>
        <w:tc>
          <w:tcPr>
            <w:tcW w:w="1701" w:type="dxa"/>
          </w:tcPr>
          <w:p w14:paraId="519BDB7A" w14:textId="0C714EE9" w:rsidR="00481B41" w:rsidRPr="009A7DA6" w:rsidRDefault="005F3FDB" w:rsidP="00A308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481B41">
              <w:rPr>
                <w:rFonts w:cstheme="minorHAnsi"/>
                <w:sz w:val="20"/>
                <w:szCs w:val="20"/>
              </w:rPr>
              <w:t>eeds and seedlings planted but few observations made</w:t>
            </w:r>
          </w:p>
        </w:tc>
        <w:tc>
          <w:tcPr>
            <w:tcW w:w="1843" w:type="dxa"/>
            <w:vAlign w:val="center"/>
          </w:tcPr>
          <w:p w14:paraId="633FAB8A" w14:textId="008EDA33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A4AD45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769AB" w14:textId="77777777" w:rsidR="00481B41" w:rsidRPr="00C93040" w:rsidRDefault="005909EB" w:rsidP="00A3083F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C93040">
              <w:rPr>
                <w:rFonts w:cstheme="minorHAns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Enquiry</w:t>
            </w:r>
          </w:p>
          <w:p w14:paraId="1A318423" w14:textId="746A34B6" w:rsidR="005F3FDB" w:rsidRPr="00C93040" w:rsidRDefault="005F3FDB" w:rsidP="00A3083F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C9304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Plant pea and sunflower seeds and observe full life cycle.</w:t>
            </w:r>
          </w:p>
          <w:p w14:paraId="15CE4845" w14:textId="77777777" w:rsidR="005F3FDB" w:rsidRPr="00C93040" w:rsidRDefault="005F3FDB" w:rsidP="00A3083F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C9304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Dissect flowers to identify parts in different species</w:t>
            </w:r>
          </w:p>
          <w:p w14:paraId="7497E543" w14:textId="578DEFCB" w:rsidR="005F3FDB" w:rsidRPr="005F3FDB" w:rsidRDefault="005F3FDB" w:rsidP="00A3083F">
            <w:pPr>
              <w:rPr>
                <w:rFonts w:cstheme="minorHAnsi"/>
                <w:sz w:val="20"/>
                <w:szCs w:val="20"/>
              </w:rPr>
            </w:pPr>
            <w:r w:rsidRPr="00C93040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Test which wind dispersed seeds travel the furthest.</w:t>
            </w:r>
          </w:p>
        </w:tc>
        <w:tc>
          <w:tcPr>
            <w:tcW w:w="1701" w:type="dxa"/>
          </w:tcPr>
          <w:p w14:paraId="02433A33" w14:textId="7655B831" w:rsidR="00481B41" w:rsidRPr="00F038E9" w:rsidRDefault="001D7C56" w:rsidP="00A3083F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F038E9">
              <w:rPr>
                <w:rFonts w:cstheme="minorHAnsi"/>
                <w:i/>
                <w:iCs/>
                <w:sz w:val="20"/>
                <w:szCs w:val="20"/>
              </w:rPr>
              <w:t>Explorify</w:t>
            </w:r>
            <w:proofErr w:type="spellEnd"/>
            <w:r w:rsidRPr="00F038E9">
              <w:rPr>
                <w:rFonts w:cstheme="minorHAnsi"/>
                <w:i/>
                <w:iCs/>
                <w:sz w:val="20"/>
                <w:szCs w:val="20"/>
              </w:rPr>
              <w:t xml:space="preserve"> –Growing seed (Video), Sightseeing seeds (Odd one out)</w:t>
            </w:r>
          </w:p>
        </w:tc>
        <w:tc>
          <w:tcPr>
            <w:tcW w:w="1701" w:type="dxa"/>
          </w:tcPr>
          <w:p w14:paraId="68FF9EBD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6A3AC" w14:textId="77777777" w:rsidR="00481B41" w:rsidRPr="009A7DA6" w:rsidRDefault="00481B41" w:rsidP="00A308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D428D9" w14:textId="28A644E9" w:rsidR="00F038E9" w:rsidRDefault="002355F2" w:rsidP="007127A5">
      <w:pPr>
        <w:spacing w:before="120" w:after="40"/>
        <w:rPr>
          <w:i/>
          <w:iCs/>
          <w:sz w:val="18"/>
          <w:szCs w:val="18"/>
        </w:rPr>
      </w:pPr>
      <w:r w:rsidRPr="00E62C90">
        <w:rPr>
          <w:i/>
          <w:iCs/>
          <w:sz w:val="18"/>
          <w:szCs w:val="18"/>
        </w:rPr>
        <w:t>*Enquiry in the primary curriculum is fundamental to how children make sense of the world around them and acquire the understanding of the key concepts. Italics are used to indicate</w:t>
      </w:r>
      <w:r>
        <w:rPr>
          <w:i/>
          <w:iCs/>
          <w:sz w:val="18"/>
          <w:szCs w:val="18"/>
        </w:rPr>
        <w:t xml:space="preserve"> that these are </w:t>
      </w:r>
      <w:r w:rsidRPr="00E62C90">
        <w:rPr>
          <w:i/>
          <w:iCs/>
          <w:sz w:val="18"/>
          <w:szCs w:val="18"/>
        </w:rPr>
        <w:t>examples</w:t>
      </w:r>
      <w:r>
        <w:rPr>
          <w:i/>
          <w:iCs/>
          <w:sz w:val="18"/>
          <w:szCs w:val="18"/>
        </w:rPr>
        <w:t xml:space="preserve"> and not compulsory activity.</w:t>
      </w:r>
      <w:r w:rsidRPr="00E62C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 w:rsidRPr="00E62C90">
        <w:rPr>
          <w:i/>
          <w:iCs/>
          <w:sz w:val="18"/>
          <w:szCs w:val="18"/>
        </w:rPr>
        <w:t>ach school select</w:t>
      </w:r>
      <w:r>
        <w:rPr>
          <w:i/>
          <w:iCs/>
          <w:sz w:val="18"/>
          <w:szCs w:val="18"/>
        </w:rPr>
        <w:t>s</w:t>
      </w:r>
      <w:r w:rsidRPr="00E62C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the</w:t>
      </w:r>
      <w:r w:rsidRPr="00E62C90">
        <w:rPr>
          <w:i/>
          <w:iCs/>
          <w:sz w:val="18"/>
          <w:szCs w:val="18"/>
        </w:rPr>
        <w:t xml:space="preserve"> enquiry approach and question </w:t>
      </w:r>
      <w:r>
        <w:rPr>
          <w:i/>
          <w:iCs/>
          <w:sz w:val="18"/>
          <w:szCs w:val="18"/>
        </w:rPr>
        <w:t xml:space="preserve">that </w:t>
      </w:r>
      <w:r w:rsidRPr="00E62C90">
        <w:rPr>
          <w:i/>
          <w:iCs/>
          <w:sz w:val="18"/>
          <w:szCs w:val="18"/>
        </w:rPr>
        <w:t xml:space="preserve">is right for their </w:t>
      </w:r>
      <w:r>
        <w:rPr>
          <w:i/>
          <w:iCs/>
          <w:sz w:val="18"/>
          <w:szCs w:val="18"/>
        </w:rPr>
        <w:t>setting</w:t>
      </w:r>
      <w:r w:rsidRPr="00E62C90">
        <w:rPr>
          <w:i/>
          <w:iCs/>
          <w:sz w:val="18"/>
          <w:szCs w:val="18"/>
        </w:rPr>
        <w:t xml:space="preserve">. Further typical </w:t>
      </w:r>
      <w:r>
        <w:rPr>
          <w:i/>
          <w:iCs/>
          <w:sz w:val="18"/>
          <w:szCs w:val="18"/>
        </w:rPr>
        <w:t xml:space="preserve">enquiry </w:t>
      </w:r>
      <w:r w:rsidRPr="00E62C90">
        <w:rPr>
          <w:i/>
          <w:iCs/>
          <w:sz w:val="18"/>
          <w:szCs w:val="18"/>
        </w:rPr>
        <w:t>examples can be found in the non</w:t>
      </w:r>
      <w:r w:rsidR="00F038E9">
        <w:rPr>
          <w:i/>
          <w:iCs/>
          <w:sz w:val="18"/>
          <w:szCs w:val="18"/>
        </w:rPr>
        <w:t>-</w:t>
      </w:r>
      <w:r w:rsidRPr="00E62C90">
        <w:rPr>
          <w:i/>
          <w:iCs/>
          <w:sz w:val="18"/>
          <w:szCs w:val="18"/>
        </w:rPr>
        <w:t>statutory guidance of the NC.</w:t>
      </w:r>
    </w:p>
    <w:p w14:paraId="22AC9627" w14:textId="1847D305" w:rsidR="002355F2" w:rsidRPr="00E62C90" w:rsidRDefault="00F038E9" w:rsidP="002355F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initial assessment activities are also examples, chosen from the s</w:t>
      </w:r>
      <w:r w:rsidR="000C0EDA">
        <w:rPr>
          <w:i/>
          <w:iCs/>
          <w:sz w:val="18"/>
          <w:szCs w:val="18"/>
        </w:rPr>
        <w:t>uggestions</w:t>
      </w:r>
      <w:r>
        <w:rPr>
          <w:i/>
          <w:iCs/>
          <w:sz w:val="18"/>
          <w:szCs w:val="18"/>
        </w:rPr>
        <w:t xml:space="preserve"> included on the information and guidance document. </w:t>
      </w:r>
      <w:r w:rsidR="000C0EDA">
        <w:rPr>
          <w:i/>
          <w:iCs/>
          <w:sz w:val="18"/>
          <w:szCs w:val="18"/>
        </w:rPr>
        <w:t>Those suggestions</w:t>
      </w:r>
      <w:r>
        <w:rPr>
          <w:i/>
          <w:iCs/>
          <w:sz w:val="18"/>
          <w:szCs w:val="18"/>
        </w:rPr>
        <w:t xml:space="preserve"> only include some of the many possible ways of establishing starting points. Each school selects elicitation strategies that are right for their setting.</w:t>
      </w:r>
    </w:p>
    <w:p w14:paraId="596713BB" w14:textId="3AD0CD43" w:rsidR="001D6E6A" w:rsidRDefault="001D6E6A"/>
    <w:sectPr w:rsidR="001D6E6A" w:rsidSect="00753EA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F1A7" w14:textId="77777777" w:rsidR="00C23EE8" w:rsidRDefault="00C23EE8" w:rsidP="001D6E6A">
      <w:pPr>
        <w:spacing w:after="0" w:line="240" w:lineRule="auto"/>
      </w:pPr>
      <w:r>
        <w:separator/>
      </w:r>
    </w:p>
  </w:endnote>
  <w:endnote w:type="continuationSeparator" w:id="0">
    <w:p w14:paraId="681BF384" w14:textId="77777777" w:rsidR="00C23EE8" w:rsidRDefault="00C23EE8" w:rsidP="001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B453" w14:textId="51786530" w:rsidR="00FA5A40" w:rsidRDefault="00FA5A40">
    <w:pPr>
      <w:pStyle w:val="Footer"/>
    </w:pPr>
    <w:r w:rsidRPr="00FA5A40">
      <w:rPr>
        <w:noProof/>
      </w:rPr>
      <w:drawing>
        <wp:inline distT="0" distB="0" distL="0" distR="0" wp14:anchorId="0B6EE5E2" wp14:editId="0946A8E8">
          <wp:extent cx="1683858" cy="358219"/>
          <wp:effectExtent l="0" t="0" r="5715" b="0"/>
          <wp:docPr id="5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58" cy="35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8F1">
      <w:tab/>
    </w:r>
    <w:r w:rsidR="004D08F1">
      <w:tab/>
    </w:r>
    <w:r w:rsidR="004D08F1">
      <w:tab/>
    </w:r>
    <w:r w:rsidR="004D08F1">
      <w:tab/>
    </w:r>
    <w:r w:rsidR="004D08F1">
      <w:tab/>
    </w:r>
    <w:r w:rsidR="004D08F1">
      <w:tab/>
    </w:r>
    <w:r w:rsidR="004D08F1">
      <w:tab/>
    </w:r>
    <w:r w:rsidR="004D08F1">
      <w:tab/>
    </w:r>
    <w:r w:rsidR="004D08F1">
      <w:tab/>
    </w:r>
    <w:r w:rsidR="004D08F1">
      <w:rPr>
        <w:noProof/>
      </w:rPr>
      <w:drawing>
        <wp:inline distT="0" distB="0" distL="0" distR="0" wp14:anchorId="67E42F4C" wp14:editId="49849DD9">
          <wp:extent cx="6858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52" cy="381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C71E" w14:textId="77777777" w:rsidR="00C23EE8" w:rsidRDefault="00C23EE8" w:rsidP="001D6E6A">
      <w:pPr>
        <w:spacing w:after="0" w:line="240" w:lineRule="auto"/>
      </w:pPr>
      <w:r>
        <w:separator/>
      </w:r>
    </w:p>
  </w:footnote>
  <w:footnote w:type="continuationSeparator" w:id="0">
    <w:p w14:paraId="34BEBBDA" w14:textId="77777777" w:rsidR="00C23EE8" w:rsidRDefault="00C23EE8" w:rsidP="001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347D" w14:textId="782F3F8D" w:rsidR="004818EF" w:rsidRDefault="00C23EE8">
    <w:pPr>
      <w:pStyle w:val="Header"/>
    </w:pPr>
    <w:r>
      <w:rPr>
        <w:noProof/>
      </w:rPr>
      <w:pict w14:anchorId="4558B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450907" o:spid="_x0000_s2050" type="#_x0000_t136" style="position:absolute;margin-left:0;margin-top:0;width:582.8pt;height:14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 P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0F52" w14:textId="2EFD7C22" w:rsidR="00C93040" w:rsidRDefault="00C23EE8" w:rsidP="00C93040">
    <w:pPr>
      <w:pStyle w:val="Header"/>
    </w:pPr>
    <w:r>
      <w:rPr>
        <w:noProof/>
      </w:rPr>
      <w:pict w14:anchorId="4FBFC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450908" o:spid="_x0000_s2051" type="#_x0000_t136" style="position:absolute;margin-left:0;margin-top:0;width:582.8pt;height:14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 PLAN"/>
          <w10:wrap anchorx="margin" anchory="margin"/>
        </v:shape>
      </w:pict>
    </w:r>
    <w:r w:rsidR="00C93040">
      <w:t xml:space="preserve">Post Corona (2020) </w:t>
    </w:r>
    <w:r w:rsidR="00280305">
      <w:t>–</w:t>
    </w:r>
    <w:r w:rsidR="008B04A7">
      <w:t xml:space="preserve"> </w:t>
    </w:r>
    <w:r w:rsidR="00C93040">
      <w:t>Catch</w:t>
    </w:r>
    <w:r w:rsidR="00280305">
      <w:t>-</w:t>
    </w:r>
    <w:r w:rsidR="00C93040">
      <w:t>up plan</w:t>
    </w:r>
  </w:p>
  <w:p w14:paraId="55F89C66" w14:textId="06104FE5" w:rsidR="00C93040" w:rsidRDefault="00C93040" w:rsidP="00C93040">
    <w:pPr>
      <w:pStyle w:val="Header"/>
    </w:pPr>
    <w:r>
      <w:t>Recognising the curriculum as Subject knowledge, Curriculum knowledge and Pedagogical knowledge</w:t>
    </w:r>
    <w:r w:rsidR="008B04A7">
      <w:t xml:space="preserve"> </w:t>
    </w:r>
    <w:r>
      <w:t>- A support tool for subject leaders to inform MTP</w:t>
    </w:r>
  </w:p>
  <w:p w14:paraId="7AA1F79B" w14:textId="0FE2D68E" w:rsidR="001D6E6A" w:rsidRDefault="001D6E6A">
    <w:pPr>
      <w:pStyle w:val="Header"/>
    </w:pPr>
    <w:r>
      <w:t xml:space="preserve">Year </w:t>
    </w:r>
    <w:r w:rsidR="007547BF">
      <w:t>4-6</w:t>
    </w:r>
    <w:r w:rsidR="00E70DDF">
      <w:t xml:space="preserve"> </w:t>
    </w:r>
    <w:r w:rsidR="00900EEC">
      <w:t xml:space="preserve">content </w:t>
    </w:r>
    <w:r w:rsidR="007303BA">
      <w:t xml:space="preserve">and enquiry </w:t>
    </w:r>
    <w:r w:rsidR="00041CC5">
      <w:t>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84CD" w14:textId="717FC653" w:rsidR="004818EF" w:rsidRDefault="00C23EE8">
    <w:pPr>
      <w:pStyle w:val="Header"/>
    </w:pPr>
    <w:r>
      <w:rPr>
        <w:noProof/>
      </w:rPr>
      <w:pict w14:anchorId="1C6889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450906" o:spid="_x0000_s2049" type="#_x0000_t136" style="position:absolute;margin-left:0;margin-top:0;width:582.8pt;height:14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 PL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7CB"/>
    <w:multiLevelType w:val="hybridMultilevel"/>
    <w:tmpl w:val="484CEE5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A"/>
    <w:rsid w:val="000170E7"/>
    <w:rsid w:val="00041CC5"/>
    <w:rsid w:val="000C0EDA"/>
    <w:rsid w:val="000C7398"/>
    <w:rsid w:val="000E32D8"/>
    <w:rsid w:val="00103666"/>
    <w:rsid w:val="00114AB2"/>
    <w:rsid w:val="0013085F"/>
    <w:rsid w:val="001C1067"/>
    <w:rsid w:val="001D6E6A"/>
    <w:rsid w:val="001D7C56"/>
    <w:rsid w:val="002355F2"/>
    <w:rsid w:val="00267625"/>
    <w:rsid w:val="00280305"/>
    <w:rsid w:val="00290658"/>
    <w:rsid w:val="002B1DFF"/>
    <w:rsid w:val="002B4182"/>
    <w:rsid w:val="002F5228"/>
    <w:rsid w:val="003341CB"/>
    <w:rsid w:val="00464334"/>
    <w:rsid w:val="004818EF"/>
    <w:rsid w:val="00481B41"/>
    <w:rsid w:val="004A6303"/>
    <w:rsid w:val="004D08F1"/>
    <w:rsid w:val="005909EB"/>
    <w:rsid w:val="005A5AF8"/>
    <w:rsid w:val="005C6B04"/>
    <w:rsid w:val="005F3FDB"/>
    <w:rsid w:val="0060666E"/>
    <w:rsid w:val="00645E8C"/>
    <w:rsid w:val="00697F3A"/>
    <w:rsid w:val="006B13BB"/>
    <w:rsid w:val="006F3B6B"/>
    <w:rsid w:val="007127A5"/>
    <w:rsid w:val="007303BA"/>
    <w:rsid w:val="00743B78"/>
    <w:rsid w:val="00746D00"/>
    <w:rsid w:val="00753EA9"/>
    <w:rsid w:val="007547BF"/>
    <w:rsid w:val="007B5822"/>
    <w:rsid w:val="00810717"/>
    <w:rsid w:val="008529DF"/>
    <w:rsid w:val="0089306C"/>
    <w:rsid w:val="008B04A7"/>
    <w:rsid w:val="00900EEC"/>
    <w:rsid w:val="00962C8B"/>
    <w:rsid w:val="00992F9D"/>
    <w:rsid w:val="00995C94"/>
    <w:rsid w:val="009A7DA6"/>
    <w:rsid w:val="009F409F"/>
    <w:rsid w:val="00A0685A"/>
    <w:rsid w:val="00A27464"/>
    <w:rsid w:val="00A3083F"/>
    <w:rsid w:val="00A334A4"/>
    <w:rsid w:val="00A57D4A"/>
    <w:rsid w:val="00AA78E8"/>
    <w:rsid w:val="00AE4E20"/>
    <w:rsid w:val="00B34F90"/>
    <w:rsid w:val="00BA42D5"/>
    <w:rsid w:val="00BC1553"/>
    <w:rsid w:val="00BC3616"/>
    <w:rsid w:val="00BC7B6B"/>
    <w:rsid w:val="00C23EE8"/>
    <w:rsid w:val="00C60B46"/>
    <w:rsid w:val="00C7583F"/>
    <w:rsid w:val="00C93040"/>
    <w:rsid w:val="00E03F23"/>
    <w:rsid w:val="00E70DDF"/>
    <w:rsid w:val="00E8543F"/>
    <w:rsid w:val="00EC69E7"/>
    <w:rsid w:val="00EF6C1C"/>
    <w:rsid w:val="00F038E9"/>
    <w:rsid w:val="00F706AF"/>
    <w:rsid w:val="00F93F39"/>
    <w:rsid w:val="00FA23B8"/>
    <w:rsid w:val="00FA5A40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1DC404"/>
  <w15:chartTrackingRefBased/>
  <w15:docId w15:val="{F26373AB-85F0-46B3-BABC-FF2453C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6A"/>
  </w:style>
  <w:style w:type="paragraph" w:styleId="Footer">
    <w:name w:val="footer"/>
    <w:basedOn w:val="Normal"/>
    <w:link w:val="FooterChar"/>
    <w:uiPriority w:val="99"/>
    <w:unhideWhenUsed/>
    <w:rsid w:val="001D6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6A"/>
  </w:style>
  <w:style w:type="table" w:styleId="TableGrid">
    <w:name w:val="Table Grid"/>
    <w:basedOn w:val="TableNormal"/>
    <w:uiPriority w:val="39"/>
    <w:rsid w:val="001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A3083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14</cp:revision>
  <dcterms:created xsi:type="dcterms:W3CDTF">2020-06-19T08:55:00Z</dcterms:created>
  <dcterms:modified xsi:type="dcterms:W3CDTF">2020-06-30T08:18:00Z</dcterms:modified>
</cp:coreProperties>
</file>